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The Recurrence Argument: What the South Atlantic Anomaly Papers Leave Out</w:t>
      </w:r>
    </w:p>
    <w:p>
      <w:pPr/>
      <w:r>
        <w:t xml:space="preserve">Oct 8, 2026</w:t>
      </w:r>
      <w:r>
        <w:t xml:space="preserve"> · </w:t>
      </w:r>
      <w:r>
        <w:t xml:space="preserve">@C.R. Kunferman, Founder Of The Journal Of Experiential Research</w:t>
      </w:r>
    </w:p>
    <w:p>
      <w:pPr>
        <w:pStyle w:val="Heading2"/>
      </w:pPr>
      <w:r>
        <w:t xml:space="preserve">Summary</w:t>
      </w:r>
    </w:p>
    <w:p>
      <w:pPr/>
      <w:r>
        <w:t xml:space="preserve">Recent papers show that South Atlantic Anomaly (SAA) weak spots recur, and treat that recurrence as reassurance. None of them assess what low-field intervals do at the surface, or to a satellite- and grid-dependent civilization. This brief makes four arguments, each labeled by its evidence level:</w:t>
      </w:r>
    </w:p>
    <w:p>
      <w:pPr>
        <w:pStyle w:val="ListParagraph"/>
        <w:numPr>
          <w:ilvl w:val="0"/>
          <w:numId w:val="2"/>
        </w:numPr>
      </w:pPr>
      <w:r>
        <w:rPr>
          <w:b/>
        </w:rPr>
        <w:t xml:space="preserve">Recurrence is established</w:t>
      </w:r>
      <w:r>
        <w:t xml:space="preserve"> — published (Gómez-Paccard et al., 2026).</w:t>
      </w:r>
    </w:p>
    <w:p>
      <w:pPr>
        <w:pStyle w:val="ListParagraph"/>
        <w:numPr>
          <w:ilvl w:val="0"/>
          <w:numId w:val="2"/>
        </w:numPr>
      </w:pPr>
      <w:r>
        <w:rPr>
          <w:b/>
        </w:rPr>
        <w:t xml:space="preserve">The recurrence is quasi-periodic and tied to dipole minima</w:t>
      </w:r>
      <w:r>
        <w:t xml:space="preserve"> — published (Nilsson et al., 2022), though those authors expect the SAA to fade.</w:t>
      </w:r>
    </w:p>
    <w:p>
      <w:pPr>
        <w:pStyle w:val="ListParagraph"/>
        <w:numPr>
          <w:ilvl w:val="0"/>
          <w:numId w:val="2"/>
        </w:numPr>
      </w:pPr>
      <w:r>
        <w:rPr>
          <w:b/>
        </w:rPr>
        <w:t xml:space="preserve">Excursions since ~34.5 ka sit ~8,000 years apart</w:t>
      </w:r>
      <w:r>
        <w:t xml:space="preserve"> — the author's original hypothesis.</w:t>
      </w:r>
    </w:p>
    <w:p>
      <w:pPr>
        <w:pStyle w:val="ListParagraph"/>
        <w:numPr>
          <w:ilvl w:val="0"/>
          <w:numId w:val="2"/>
        </w:numPr>
      </w:pPr>
      <w:r>
        <w:rPr>
          <w:b/>
        </w:rPr>
        <w:t xml:space="preserve">Whether the present falls in that window</w:t>
      </w:r>
      <w:r>
        <w:t xml:space="preserve"> — open; the cadence as computed does not place a node at the present.</w:t>
      </w:r>
    </w:p>
    <w:p>
      <w:pPr/>
      <w:r>
        <w:t xml:space="preserve">The consequences the papers omit are documented in a separate, peer-reviewed literature on the Laschamps excursion and on ozone loss under a weak field.</w:t>
      </w:r>
    </w:p>
    <w:p>
      <w:pPr>
        <w:pStyle w:val="Heading2"/>
      </w:pPr>
      <w:r>
        <w:t xml:space="preserve">Scope: a weakened field, not a pole reversal</w:t>
      </w:r>
    </w:p>
    <w:p>
      <w:pPr/>
      <w:r>
        <w:t xml:space="preserve">This brief is about field weakening and its geometry. It makes no claim about a polarity reversal.</w:t>
      </w:r>
    </w:p>
    <w:p>
      <w:pPr/>
      <w:r>
        <w:t xml:space="preserve">To a first approximation, Earth's field is a tilted dipole whose center is offset from Earth's center. That offset puts the weakest surface field over the South Atlantic. The author's simulation reproduces exposure over the SAA region from the dipole's current position alone, before adding surface or crustal complexity. [Author's simulation — DOI to be added.]</w:t>
      </w:r>
    </w:p>
    <w:p>
      <w:pPr/>
      <w:r>
        <w:t xml:space="preserve">Three points from the literature bound this:</w:t>
      </w:r>
    </w:p>
    <w:p>
      <w:pPr>
        <w:pStyle w:val="ListParagraph"/>
        <w:numPr>
          <w:ilvl w:val="0"/>
          <w:numId w:val="3"/>
        </w:numPr>
      </w:pPr>
      <w:r>
        <w:t xml:space="preserve">A dipole centered in the Earth produces no localized weak spot; the SAA requires the offset, not only the tilt.</w:t>
      </w:r>
    </w:p>
    <w:p>
      <w:pPr>
        <w:pStyle w:val="ListParagraph"/>
        <w:numPr>
          <w:ilvl w:val="0"/>
          <w:numId w:val="3"/>
        </w:numPr>
      </w:pPr>
      <w:r>
        <w:t xml:space="preserve">The SAA's growth since 2014, and its faster weakening southwest of Africa since 2020, are attributed to patches at the core–mantle boundary where field lines point back into the core. These are non-dipole features (</w:t>
      </w:r>
      <w:hyperlink r:id="rId3" w:history="1">
        <w:r>
          <w:rPr>
            <w:rStyle w:val="Hyperlink"/>
          </w:rPr>
          <w:t xml:space="preserve">Finlay et al., 2025</w:t>
        </w:r>
      </w:hyperlink>
      <w:r>
        <w:t xml:space="preserve">).</w:t>
      </w:r>
    </w:p>
    <w:p>
      <w:pPr>
        <w:pStyle w:val="ListParagraph"/>
        <w:numPr>
          <w:ilvl w:val="0"/>
          <w:numId w:val="3"/>
        </w:numPr>
      </w:pPr>
      <w:r>
        <w:t xml:space="preserve">SAA-type anomalies tend to coincide with minima in dipole moment (</w:t>
      </w:r>
      <w:hyperlink r:id="rId4" w:history="1">
        <w:r>
          <w:rPr>
            <w:rStyle w:val="Hyperlink"/>
          </w:rPr>
          <w:t xml:space="preserve">Nilsson et al., 2022</w:t>
        </w:r>
      </w:hyperlink>
      <w:r>
        <w:t xml:space="preserve">). Geometry sets where the weak spot sits; dipole strength sets how weak it gets.</w:t>
      </w:r>
    </w:p>
    <w:p>
      <w:pPr>
        <w:pStyle w:val="Heading2"/>
      </w:pPr>
      <w:r>
        <w:t xml:space="preserve">Arguments 1 and 2: what the recurrence papers establish</w:t>
      </w:r>
    </w:p>
    <w:p>
      <w:pPr/>
      <w:r>
        <w:rPr>
          <w:b/>
        </w:rPr>
        <w:t xml:space="preserve">Current status.</w:t>
      </w:r>
      <w:r>
        <w:t xml:space="preserve"> Swarm satellite data show the SAA expanded by an area nearly half the size of continental Europe between 2014 and 2025. The region southwest of Africa has weakened faster since 2020 (</w:t>
      </w:r>
      <w:hyperlink r:id="rId3" w:history="1">
        <w:r>
          <w:rPr>
            <w:rStyle w:val="Hyperlink"/>
          </w:rPr>
          <w:t xml:space="preserve">Finlay et al., 2025</w:t>
        </w:r>
      </w:hyperlink>
      <w:r>
        <w:t xml:space="preserve">).</w:t>
      </w:r>
    </w:p>
    <w:p>
      <w:pPr/>
      <w:r>
        <w:rPr>
          <w:b/>
        </w:rPr>
        <w:t xml:space="preserve">Recurrence (</w:t>
      </w:r>
      <w:hyperlink r:id="rId5" w:history="1">
        <w:r>
          <w:rPr>
            <w:rStyle w:val="Hyperlink"/>
            <w:b/>
          </w:rPr>
          <w:t xml:space="preserve">Gómez-Paccard et al., 2026, PNAS</w:t>
        </w:r>
      </w:hyperlink>
      <w:r>
        <w:rPr>
          <w:b/>
        </w:rPr>
        <w:t xml:space="preserve">).</w:t>
      </w:r>
      <w:r>
        <w:t xml:space="preserve"> The team made 41 new absolute-intensity measurements on archaeological material from northwest Argentina. They find low-intensity anomalies recurring in the Southern Hemisphere for at least two millennia. Their model tentatively traces a nondipolar weak spot migrating west between 1 and 850 CE, from the Indian Ocean to northern South America, along a path broadly like the modern SAA's. The lead author's own summary is that the anomaly's future is not easy to predict.</w:t>
      </w:r>
    </w:p>
    <w:p>
      <w:pPr/>
      <w:r>
        <w:rPr>
          <w:b/>
        </w:rPr>
        <w:t xml:space="preserve">Quasi-periodicity (</w:t>
      </w:r>
      <w:hyperlink r:id="rId4" w:history="1">
        <w:r>
          <w:rPr>
            <w:rStyle w:val="Hyperlink"/>
            <w:b/>
          </w:rPr>
          <w:t xml:space="preserve">Nilsson et al., 2022, PNAS</w:t>
        </w:r>
      </w:hyperlink>
      <w:r>
        <w:rPr>
          <w:b/>
        </w:rPr>
        <w:t xml:space="preserve">).</w:t>
      </w:r>
      <w:r>
        <w:t xml:space="preserve"> A 9,000-year field model finds recurrent hemispheric asymmetries tied to quasi-periodic, millennial-scale variations in dipole moment. The authors propose ~600 BCE as an analog. On that analogy, they expect the SAA to disappear within a few hundred years, possibly with a strengthening dipole, and they see no reversal ahead. Any use of this paper must state that conclusion.</w:t>
      </w:r>
    </w:p>
    <w:p>
      <w:pPr/>
      <w:r>
        <w:rPr>
          <w:b/>
        </w:rPr>
        <w:t xml:space="preserve">Longer record (</w:t>
      </w:r>
      <w:hyperlink r:id="rId6" w:history="1">
        <w:r>
          <w:rPr>
            <w:rStyle w:val="Hyperlink"/>
            <w:b/>
          </w:rPr>
          <w:t xml:space="preserve">Engbers et al., 2020, PNAS</w:t>
        </w:r>
      </w:hyperlink>
      <w:r>
        <w:rPr>
          <w:b/>
        </w:rPr>
        <w:t xml:space="preserve">).</w:t>
      </w:r>
      <w:r>
        <w:t xml:space="preserve"> Saint Helena lavas show similar anomalous behavior 8–11 million years ago. The authors call the SAA a recurring feature, probably not a sign of impending reversal.</w:t>
      </w:r>
    </w:p>
    <w:p>
      <w:pPr/>
      <w:r>
        <w:rPr>
          <w:b/>
        </w:rPr>
        <w:t xml:space="preserve">What none of them address.</w:t>
      </w:r>
      <w:r>
        <w:t xml:space="preserve"> All three describe the anomaly's shape, path and duration. None assess surface radiation, atmospheric chemistry or biological effects during the low-field intervals. None assess exposure of satellites and power grids today. "Recurring" and "self-resolving" are presented as reassurance, but neither establishes that the intervals were harmless.</w:t>
      </w:r>
    </w:p>
    <w:p>
      <w:pPr>
        <w:pStyle w:val="Heading2"/>
      </w:pPr>
      <w:r>
        <w:t xml:space="preserve">The omitted consequences: the Laschamps excursion</w:t>
      </w:r>
    </w:p>
    <w:p>
      <w:pPr/>
      <w:r>
        <w:t xml:space="preserve">Laschamps (~41–42 ka) is the best-dated field collapse on record. Field strength fell to ~10% of modern values; the excursion lasted ~2,000 years, with the dipole drop and tilt spanning ~300 years (</w:t>
      </w:r>
      <w:hyperlink r:id="rId7" w:history="1">
        <w:r>
          <w:rPr>
            <w:rStyle w:val="Hyperlink"/>
          </w:rPr>
          <w:t xml:space="preserve">Mukhopadhyay et al., 2025</w:t>
        </w:r>
      </w:hyperlink>
      <w:r>
        <w:t xml:space="preserve">). It is a global excursion, a different class of event from a regional SAA-type anomaly. The link between the two is dipole strength: excursions sit in deep paleointensity minima, and SAA-type anomalies coincide with dipole minima.</w:t>
      </w:r>
    </w:p>
    <w:p>
      <w:pPr/>
      <w:r>
        <w:rPr>
          <w:b/>
        </w:rPr>
        <w:t xml:space="preserve">Evidence for surface consequences</w:t>
      </w:r>
    </w:p>
    <w:p>
      <w:pPr>
        <w:pStyle w:val="ListParagraph"/>
        <w:numPr>
          <w:ilvl w:val="0"/>
          <w:numId w:val="4"/>
        </w:numPr>
      </w:pPr>
      <w:hyperlink r:id="rId8" w:history="1">
        <w:r>
          <w:rPr>
            <w:rStyle w:val="Hyperlink"/>
          </w:rPr>
          <w:t xml:space="preserve">Cooper et al., 2021, Science</w:t>
        </w:r>
      </w:hyperlink>
      <w:r>
        <w:t xml:space="preserve">: field minima ~42 ka, combined with Grand Solar Minima, changed ozone and atmospheric circulation. The authors link this to synchronous climate shifts, extinction events and changes in the archaeological record.</w:t>
      </w:r>
    </w:p>
    <w:p>
      <w:pPr>
        <w:pStyle w:val="ListParagraph"/>
        <w:numPr>
          <w:ilvl w:val="0"/>
          <w:numId w:val="4"/>
        </w:numPr>
      </w:pPr>
      <w:hyperlink r:id="rId7" w:history="1">
        <w:r>
          <w:rPr>
            <w:rStyle w:val="Hyperlink"/>
          </w:rPr>
          <w:t xml:space="preserve">Mukhopadhyay et al., 2025, Science Advances</w:t>
        </w:r>
      </w:hyperlink>
      <w:r>
        <w:t xml:space="preserve">: the auroral oval and open field lines expanded and wandered toward lower latitudes.</w:t>
      </w:r>
    </w:p>
    <w:p>
      <w:pPr>
        <w:pStyle w:val="ListParagraph"/>
        <w:numPr>
          <w:ilvl w:val="0"/>
          <w:numId w:val="4"/>
        </w:numPr>
      </w:pPr>
      <w:hyperlink r:id="rId9" w:history="1">
        <w:r>
          <w:rPr>
            <w:rStyle w:val="Hyperlink"/>
          </w:rPr>
          <w:t xml:space="preserve">Laschamps-UV project, University of Bergen</w:t>
        </w:r>
      </w:hyperlink>
      <w:r>
        <w:t xml:space="preserve">: paleoclimate modeling indicates elevated surface UV-B in the lead-up to the excursion.</w:t>
      </w:r>
    </w:p>
    <w:p>
      <w:pPr/>
      <w:r>
        <w:rPr>
          <w:b/>
        </w:rPr>
        <w:t xml:space="preserve">The dispute, stated plainly</w:t>
      </w:r>
    </w:p>
    <w:p>
      <w:pPr>
        <w:pStyle w:val="ListParagraph"/>
        <w:numPr>
          <w:ilvl w:val="0"/>
          <w:numId w:val="5"/>
        </w:numPr>
      </w:pPr>
      <w:r>
        <w:t xml:space="preserve">A </w:t>
      </w:r>
      <w:hyperlink r:id="rId10" w:history="1">
        <w:r>
          <w:rPr>
            <w:rStyle w:val="Hyperlink"/>
          </w:rPr>
          <w:t xml:space="preserve">2021 Science comment</w:t>
        </w:r>
      </w:hyperlink>
      <w:r>
        <w:t xml:space="preserve"> argues Cooper et al. used archaeological and paleontological data selectively, and that Greenland ice cores and marine records show no notable climate effect. Cooper et al. </w:t>
      </w:r>
      <w:hyperlink r:id="rId11" w:history="1">
        <w:r>
          <w:rPr>
            <w:rStyle w:val="Hyperlink"/>
          </w:rPr>
          <w:t xml:space="preserve">replied the same year</w:t>
        </w:r>
      </w:hyperlink>
      <w:r>
        <w:t xml:space="preserve">.</w:t>
      </w:r>
    </w:p>
    <w:p>
      <w:pPr>
        <w:pStyle w:val="ListParagraph"/>
        <w:numPr>
          <w:ilvl w:val="0"/>
          <w:numId w:val="5"/>
        </w:numPr>
      </w:pPr>
      <w:r>
        <w:t xml:space="preserve">The Laschamps-UV project itself says the effects will remain controversial until UV-B is reconstructed empirically for that period.</w:t>
      </w:r>
    </w:p>
    <w:p>
      <w:pPr/>
      <w:r>
        <w:rPr>
          <w:b/>
        </w:rPr>
        <w:t xml:space="preserve">Point for this brief.</w:t>
      </w:r>
      <w:r>
        <w:t xml:space="preserve"> Whether a field collapse harms the biosphere is a live, peer-reviewed question. A paper that offers recurrence as reassurance, without engaging that question, has left out the part that matters most.</w:t>
      </w:r>
    </w:p>
    <w:p>
      <w:pPr>
        <w:pStyle w:val="Heading2"/>
      </w:pPr>
      <w:r>
        <w:t xml:space="preserve">Biological pathway: ozone, UV-B and phytoplankton (forecast)</w:t>
      </w:r>
    </w:p>
    <w:p>
      <w:pPr/>
      <w:r>
        <w:t xml:space="preserve">The proposed chain runs in five steps:</w:t>
      </w:r>
    </w:p>
    <w:p>
      <w:pPr>
        <w:pStyle w:val="ListParagraph"/>
        <w:numPr>
          <w:ilvl w:val="0"/>
          <w:numId w:val="6"/>
        </w:numPr>
      </w:pPr>
      <w:r>
        <w:t xml:space="preserve">A weaker field lets more energetic particles into the atmosphere.</w:t>
      </w:r>
    </w:p>
    <w:p>
      <w:pPr>
        <w:pStyle w:val="ListParagraph"/>
        <w:numPr>
          <w:ilvl w:val="0"/>
          <w:numId w:val="6"/>
        </w:numPr>
      </w:pPr>
      <w:r>
        <w:t xml:space="preserve">These raise nitrogen oxide levels in the middle atmosphere.</w:t>
      </w:r>
    </w:p>
    <w:p>
      <w:pPr>
        <w:pStyle w:val="ListParagraph"/>
        <w:numPr>
          <w:ilvl w:val="0"/>
          <w:numId w:val="6"/>
        </w:numPr>
      </w:pPr>
      <w:r>
        <w:t xml:space="preserve">The added nitrogen oxides deplete stratospheric ozone.</w:t>
      </w:r>
    </w:p>
    <w:p>
      <w:pPr>
        <w:pStyle w:val="ListParagraph"/>
        <w:numPr>
          <w:ilvl w:val="0"/>
          <w:numId w:val="6"/>
        </w:numPr>
      </w:pPr>
      <w:r>
        <w:t xml:space="preserve">Thinner ozone lets more UV-B reach the surface.</w:t>
      </w:r>
    </w:p>
    <w:p>
      <w:pPr>
        <w:pStyle w:val="ListParagraph"/>
        <w:numPr>
          <w:ilvl w:val="0"/>
          <w:numId w:val="6"/>
        </w:numPr>
      </w:pPr>
      <w:r>
        <w:t xml:space="preserve">UV-B damages phytoplankton, the base of the marine food web.</w:t>
      </w:r>
    </w:p>
    <w:p>
      <w:pPr/>
      <w:r>
        <w:rPr>
          <w:b/>
        </w:rPr>
        <w:t xml:space="preserve">What the literature shows</w:t>
      </w:r>
    </w:p>
    <w:p>
      <w:pPr>
        <w:pStyle w:val="ListParagraph"/>
        <w:numPr>
          <w:ilvl w:val="0"/>
          <w:numId w:val="7"/>
        </w:numPr>
      </w:pPr>
      <w:hyperlink r:id="rId12" w:history="1">
        <w:r>
          <w:rPr>
            <w:rStyle w:val="Hyperlink"/>
          </w:rPr>
          <w:t xml:space="preserve">Arsenović et al., 2024, PNAS</w:t>
        </w:r>
      </w:hyperlink>
      <w:r>
        <w:t xml:space="preserve">: at today's field strength, an extreme solar particle event cuts extratropical ozone for about a year. With no field, the same event causes severe ozone depletion lasting several years.</w:t>
      </w:r>
    </w:p>
    <w:p>
      <w:pPr>
        <w:pStyle w:val="ListParagraph"/>
        <w:numPr>
          <w:ilvl w:val="0"/>
          <w:numId w:val="7"/>
        </w:numPr>
      </w:pPr>
      <w:r>
        <w:t xml:space="preserve">A German Research Foundation </w:t>
      </w:r>
      <w:hyperlink r:id="rId13" w:history="1">
        <w:r>
          <w:rPr>
            <w:rStyle w:val="Hyperlink"/>
          </w:rPr>
          <w:t xml:space="preserve">(DFG) project</w:t>
        </w:r>
      </w:hyperlink>
      <w:r>
        <w:t xml:space="preserve"> built coupled atmosphere, bio-optical and phytoplankton models to test how aquatic ecosystems respond to UV-B increases during polarity transitions.</w:t>
      </w:r>
    </w:p>
    <w:p>
      <w:pPr/>
      <w:r>
        <w:rPr>
          <w:b/>
        </w:rPr>
        <w:t xml:space="preserve">Limit of the claim.</w:t>
      </w:r>
      <w:r>
        <w:t xml:space="preserve"> At today's strength, roughly 9% below the 1840s value (a commonly cited figure, approximate here), published modeling does not show this chain operating. Current marine declines are attributed mainly to warming, stratification, acidification and overfishing. The defensible claim is conditional: if the decline continues toward excursion-level strength, the UV-B pathway to phytoplankton is a modeled, peer-reviewed risk.</w:t>
      </w:r>
    </w:p>
    <w:p>
      <w:pPr>
        <w:pStyle w:val="Heading2"/>
      </w:pPr>
      <w:r>
        <w:t xml:space="preserve">Argument 3: the ~8,000-year cadence (original hypothesis)</w:t>
      </w:r>
    </w:p>
    <w:p>
      <w:pPr/>
      <w:r>
        <w:t xml:space="preserve">From Mono Lake onward, the catalogued excursions fall roughly 7.5–9 thousand years apart. Before that, the spacing is irregular, from ~7 to ~30 thousand years.</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Excursion</w:t>
            </w:r>
          </w:p>
        </w:tc>
        <w:tc>
          <w:tcPr>
            <w:tcW w:w="2340" w:type="dxa"/>
            <w:shd w:val="clear" w:color="auto" w:fill="F2F2F2"/>
          </w:tcPr>
          <w:p>
            <w:pPr/>
            <w:r>
              <w:t xml:space="preserve">Age (ka)</w:t>
            </w:r>
          </w:p>
        </w:tc>
        <w:tc>
          <w:tcPr>
            <w:tcW w:w="2340" w:type="dxa"/>
            <w:shd w:val="clear" w:color="auto" w:fill="F2F2F2"/>
          </w:tcPr>
          <w:p>
            <w:pPr/>
            <w:r>
              <w:t xml:space="preserve">Status</w:t>
            </w:r>
          </w:p>
        </w:tc>
        <w:tc>
          <w:tcPr>
            <w:tcW w:w="2340" w:type="dxa"/>
            <w:shd w:val="clear" w:color="auto" w:fill="F2F2F2"/>
          </w:tcPr>
          <w:p>
            <w:pPr/>
            <w:r>
              <w:t xml:space="preserve">Gap to next (kyr)</w:t>
            </w:r>
          </w:p>
        </w:tc>
      </w:tr>
      <w:tr>
        <w:tc>
          <w:tcPr>
            <w:tcW w:w="2340" w:type="dxa"/>
          </w:tcPr>
          <w:p>
            <w:pPr/>
            <w:r>
              <w:t xml:space="preserve">Tianshui</w:t>
            </w:r>
          </w:p>
        </w:tc>
        <w:tc>
          <w:tcPr>
            <w:tcW w:w="2340" w:type="dxa"/>
          </w:tcPr>
          <w:p>
            <w:pPr/>
            <w:r>
              <w:t xml:space="preserve">~10.2</w:t>
            </w:r>
          </w:p>
        </w:tc>
        <w:tc>
          <w:tcPr>
            <w:tcW w:w="2340" w:type="dxa"/>
          </w:tcPr>
          <w:p>
            <w:pPr/>
            <w:r>
              <w:t xml:space="preserve">Disputed</w:t>
            </w:r>
          </w:p>
        </w:tc>
        <w:tc>
          <w:tcPr>
            <w:tcW w:w="2340" w:type="dxa"/>
          </w:tcPr>
          <w:p>
            <w:pPr/>
            <w:r>
              <w:t xml:space="preserve">—</w:t>
            </w:r>
          </w:p>
        </w:tc>
      </w:tr>
      <w:tr>
        <w:tc>
          <w:tcPr>
            <w:tcW w:w="2340" w:type="dxa"/>
          </w:tcPr>
          <w:p>
            <w:pPr/>
            <w:r>
              <w:t xml:space="preserve">Hilina Pali</w:t>
            </w:r>
          </w:p>
        </w:tc>
        <w:tc>
          <w:tcPr>
            <w:tcW w:w="2340" w:type="dxa"/>
          </w:tcPr>
          <w:p>
            <w:pPr/>
            <w:r>
              <w:t xml:space="preserve">~17–18.5</w:t>
            </w:r>
          </w:p>
        </w:tc>
        <w:tc>
          <w:tcPr>
            <w:tcW w:w="2340" w:type="dxa"/>
          </w:tcPr>
          <w:p>
            <w:pPr/>
            <w:r>
              <w:t xml:space="preserve">Disputed</w:t>
            </w:r>
          </w:p>
        </w:tc>
        <w:tc>
          <w:tcPr>
            <w:tcW w:w="2340" w:type="dxa"/>
          </w:tcPr>
          <w:p>
            <w:pPr/>
            <w:r>
              <w:t xml:space="preserve">~7–8</w:t>
            </w:r>
          </w:p>
        </w:tc>
      </w:tr>
      <w:tr>
        <w:tc>
          <w:tcPr>
            <w:tcW w:w="2340" w:type="dxa"/>
          </w:tcPr>
          <w:p>
            <w:pPr/>
            <w:r>
              <w:t xml:space="preserve">Rockall</w:t>
            </w:r>
          </w:p>
        </w:tc>
        <w:tc>
          <w:tcPr>
            <w:tcW w:w="2340" w:type="dxa"/>
          </w:tcPr>
          <w:p>
            <w:pPr/>
            <w:r>
              <w:t xml:space="preserve">~26</w:t>
            </w:r>
          </w:p>
        </w:tc>
        <w:tc>
          <w:tcPr>
            <w:tcW w:w="2340" w:type="dxa"/>
          </w:tcPr>
          <w:p>
            <w:pPr/>
            <w:r>
              <w:t xml:space="preserve">Disputed</w:t>
            </w:r>
          </w:p>
        </w:tc>
        <w:tc>
          <w:tcPr>
            <w:tcW w:w="2340" w:type="dxa"/>
          </w:tcPr>
          <w:p>
            <w:pPr/>
            <w:r>
              <w:t xml:space="preserve">~7.5–9</w:t>
            </w:r>
          </w:p>
        </w:tc>
      </w:tr>
      <w:tr>
        <w:tc>
          <w:tcPr>
            <w:tcW w:w="2340" w:type="dxa"/>
          </w:tcPr>
          <w:p>
            <w:pPr/>
            <w:r>
              <w:t xml:space="preserve">Mono Lake</w:t>
            </w:r>
          </w:p>
        </w:tc>
        <w:tc>
          <w:tcPr>
            <w:tcW w:w="2340" w:type="dxa"/>
          </w:tcPr>
          <w:p>
            <w:pPr/>
            <w:r>
              <w:t xml:space="preserve">~34.5</w:t>
            </w:r>
          </w:p>
        </w:tc>
        <w:tc>
          <w:tcPr>
            <w:tcW w:w="2340" w:type="dxa"/>
          </w:tcPr>
          <w:p>
            <w:pPr/>
            <w:r>
              <w:t xml:space="preserve">Documented</w:t>
            </w:r>
          </w:p>
        </w:tc>
        <w:tc>
          <w:tcPr>
            <w:tcW w:w="2340" w:type="dxa"/>
          </w:tcPr>
          <w:p>
            <w:pPr/>
            <w:r>
              <w:t xml:space="preserve">~8.5</w:t>
            </w:r>
          </w:p>
        </w:tc>
      </w:tr>
      <w:tr>
        <w:tc>
          <w:tcPr>
            <w:tcW w:w="2340" w:type="dxa"/>
          </w:tcPr>
          <w:p>
            <w:pPr/>
            <w:r>
              <w:t xml:space="preserve">Laschamps</w:t>
            </w:r>
          </w:p>
        </w:tc>
        <w:tc>
          <w:tcPr>
            <w:tcW w:w="2340" w:type="dxa"/>
          </w:tcPr>
          <w:p>
            <w:pPr/>
            <w:r>
              <w:t xml:space="preserve">~41.2</w:t>
            </w:r>
          </w:p>
        </w:tc>
        <w:tc>
          <w:tcPr>
            <w:tcW w:w="2340" w:type="dxa"/>
          </w:tcPr>
          <w:p>
            <w:pPr/>
            <w:r>
              <w:t xml:space="preserve">Documented</w:t>
            </w:r>
          </w:p>
        </w:tc>
        <w:tc>
          <w:tcPr>
            <w:tcW w:w="2340" w:type="dxa"/>
          </w:tcPr>
          <w:p>
            <w:pPr/>
            <w:r>
              <w:t xml:space="preserve">~7</w:t>
            </w:r>
          </w:p>
        </w:tc>
      </w:tr>
      <w:tr>
        <w:tc>
          <w:tcPr>
            <w:tcW w:w="2340" w:type="dxa"/>
          </w:tcPr>
          <w:p>
            <w:pPr/>
            <w:r>
              <w:t xml:space="preserve">Norwegian–Greenland Sea</w:t>
            </w:r>
          </w:p>
        </w:tc>
        <w:tc>
          <w:tcPr>
            <w:tcW w:w="2340" w:type="dxa"/>
          </w:tcPr>
          <w:p>
            <w:pPr/>
            <w:r>
              <w:t xml:space="preserve">~64.5</w:t>
            </w:r>
          </w:p>
        </w:tc>
        <w:tc>
          <w:tcPr>
            <w:tcW w:w="2340" w:type="dxa"/>
          </w:tcPr>
          <w:p>
            <w:pPr/>
            <w:r>
              <w:t xml:space="preserve">Documented</w:t>
            </w:r>
          </w:p>
        </w:tc>
        <w:tc>
          <w:tcPr>
            <w:tcW w:w="2340" w:type="dxa"/>
          </w:tcPr>
          <w:p>
            <w:pPr/>
            <w:r>
              <w:t xml:space="preserve">~23</w:t>
            </w:r>
          </w:p>
        </w:tc>
      </w:tr>
      <w:tr>
        <w:tc>
          <w:tcPr>
            <w:tcW w:w="2340" w:type="dxa"/>
          </w:tcPr>
          <w:p>
            <w:pPr/>
            <w:r>
              <w:t xml:space="preserve">Post-Blake</w:t>
            </w:r>
          </w:p>
        </w:tc>
        <w:tc>
          <w:tcPr>
            <w:tcW w:w="2340" w:type="dxa"/>
          </w:tcPr>
          <w:p>
            <w:pPr/>
            <w:r>
              <w:t xml:space="preserve">~95</w:t>
            </w:r>
          </w:p>
        </w:tc>
        <w:tc>
          <w:tcPr>
            <w:tcW w:w="2340" w:type="dxa"/>
          </w:tcPr>
          <w:p>
            <w:pPr/>
            <w:r>
              <w:t xml:space="preserve">Documented</w:t>
            </w:r>
          </w:p>
        </w:tc>
        <w:tc>
          <w:tcPr>
            <w:tcW w:w="2340" w:type="dxa"/>
          </w:tcPr>
          <w:p>
            <w:pPr/>
            <w:r>
              <w:t xml:space="preserve">~30</w:t>
            </w:r>
          </w:p>
        </w:tc>
      </w:tr>
      <w:tr>
        <w:tc>
          <w:tcPr>
            <w:tcW w:w="2340" w:type="dxa"/>
          </w:tcPr>
          <w:p>
            <w:pPr/>
            <w:r>
              <w:t xml:space="preserve">Blake</w:t>
            </w:r>
          </w:p>
        </w:tc>
        <w:tc>
          <w:tcPr>
            <w:tcW w:w="2340" w:type="dxa"/>
          </w:tcPr>
          <w:p>
            <w:pPr/>
            <w:r>
              <w:t xml:space="preserve">~115–120 (approximate)</w:t>
            </w:r>
          </w:p>
        </w:tc>
        <w:tc>
          <w:tcPr>
            <w:tcW w:w="2340" w:type="dxa"/>
          </w:tcPr>
          <w:p>
            <w:pPr/>
            <w:r>
              <w:t xml:space="preserve">Documented</w:t>
            </w:r>
          </w:p>
        </w:tc>
        <w:tc>
          <w:tcPr>
            <w:tcW w:w="2340" w:type="dxa"/>
          </w:tcPr>
          <w:p>
            <w:pPr/>
            <w:r>
              <w:t xml:space="preserve">~20–25</w:t>
            </w:r>
          </w:p>
        </w:tc>
      </w:tr>
    </w:tbl>
    <w:p>
      <w:pPr/>
      <w:r>
        <w:t xml:space="preserve">Ages from </w:t>
      </w:r>
      <w:hyperlink r:id="rId14" w:history="1">
        <w:r>
          <w:rPr>
            <w:rStyle w:val="Hyperlink"/>
          </w:rPr>
          <w:t xml:space="preserve">Nowaczyk et al., 2025</w:t>
        </w:r>
      </w:hyperlink>
      <w:r>
        <w:t xml:space="preserve"> and </w:t>
      </w:r>
      <w:hyperlink r:id="rId15" w:history="1">
        <w:r>
          <w:rPr>
            <w:rStyle w:val="Hyperlink"/>
          </w:rPr>
          <w:t xml:space="preserve">Liu et al., 2020</w:t>
        </w:r>
      </w:hyperlink>
      <w:r>
        <w:t xml:space="preserve">; Blake and Post-Blake from the Lake Chala record (Di Chiara et al., 2025, G-Cubed).</w:t>
      </w:r>
    </w:p>
    <w:p>
      <w:pPr/>
      <w:r>
        <w:rPr>
          <w:b/>
        </w:rPr>
        <w:t xml:space="preserve">Weak points, stated up front</w:t>
      </w:r>
    </w:p>
    <w:p>
      <w:pPr>
        <w:pStyle w:val="ListParagraph"/>
        <w:numPr>
          <w:ilvl w:val="0"/>
          <w:numId w:val="8"/>
        </w:numPr>
      </w:pPr>
      <w:r>
        <w:t xml:space="preserve">Three of the four regular events are disputed. Drake Passage cores show no evidence for Tianshui, Rockall or Hilina Pali; the authors suggest they were regional or too short to record (</w:t>
      </w:r>
      <w:hyperlink r:id="rId14" w:history="1">
        <w:r>
          <w:rPr>
            <w:rStyle w:val="Hyperlink"/>
          </w:rPr>
          <w:t xml:space="preserve">Nowaczyk et al., 2025</w:t>
        </w:r>
      </w:hyperlink>
      <w:r>
        <w:t xml:space="preserve">).</w:t>
      </w:r>
    </w:p>
    <w:p>
      <w:pPr>
        <w:pStyle w:val="ListParagraph"/>
        <w:numPr>
          <w:ilvl w:val="0"/>
          <w:numId w:val="8"/>
        </w:numPr>
      </w:pPr>
      <w:r>
        <w:t xml:space="preserve">Preservation bias: younger events are better resolved, which can make recent spacing look tighter and more regular.</w:t>
      </w:r>
    </w:p>
    <w:p>
      <w:pPr>
        <w:pStyle w:val="ListParagraph"/>
        <w:numPr>
          <w:ilvl w:val="0"/>
          <w:numId w:val="8"/>
        </w:numPr>
      </w:pPr>
      <w:r>
        <w:t xml:space="preserve">The 2022 paper's quasi-periodicity is millennial, about a thousand years, not 8,000. It does not directly support this cadence.</w:t>
      </w:r>
    </w:p>
    <w:p>
      <w:pPr>
        <w:pStyle w:val="ListParagraph"/>
        <w:numPr>
          <w:ilvl w:val="0"/>
          <w:numId w:val="8"/>
        </w:numPr>
      </w:pPr>
      <w:r>
        <w:t xml:space="preserve">Mono Lake was mostly non-dipole, with a weaker drop in the axial dipole than Laschamps (</w:t>
      </w:r>
      <w:hyperlink r:id="rId15" w:history="1">
        <w:r>
          <w:rPr>
            <w:rStyle w:val="Hyperlink"/>
          </w:rPr>
          <w:t xml:space="preserve">Liu et al., 2020</w:t>
        </w:r>
      </w:hyperlink>
      <w:r>
        <w:t xml:space="preserve">). The events in the regular sequence may differ in kind.</w:t>
      </w:r>
    </w:p>
    <w:p>
      <w:pPr/>
      <w:r>
        <w:rPr>
          <w:b/>
        </w:rPr>
        <w:t xml:space="preserve">What would confirm it.</w:t>
      </w:r>
      <w:r>
        <w:t xml:space="preserve"> High-resolution Southern Hemisphere records showing Rockall, Hilina Pali and Tianshui as global events at these ages.</w:t>
      </w:r>
    </w:p>
    <w:p>
      <w:pPr>
        <w:pStyle w:val="Heading2"/>
      </w:pPr>
      <w:r>
        <w:t xml:space="preserve">Argument 4: the present window (open question)</w:t>
      </w:r>
    </w:p>
    <w:p>
      <w:pPr/>
      <w:r>
        <w:t xml:space="preserve">As computed, the cadence does not place a node at the present. Counting ~8,000 years forward from Tianshui (~10.2 ka) gives nodes at ~2 ka and at ~6,000 years from now.</w:t>
      </w:r>
    </w:p>
    <w:p>
      <w:pPr/>
      <w:r>
        <w:t xml:space="preserve">The ~2 ka node does line up with something. It falls on the 1–850 CE low-intensity anomaly in </w:t>
      </w:r>
      <w:hyperlink r:id="rId5" w:history="1">
        <w:r>
          <w:rPr>
            <w:rStyle w:val="Hyperlink"/>
          </w:rPr>
          <w:t xml:space="preserve">Gómez-Paccard et al., 2026</w:t>
        </w:r>
      </w:hyperlink>
      <w:r>
        <w:t xml:space="preserve">. That was a regional SAA-type anomaly, not a global excursion. If the match is real, the cadence would show up as different kinds of event over time. That idea is testable.</w:t>
      </w:r>
    </w:p>
    <w:p>
      <w:pPr/>
      <w:r>
        <w:t xml:space="preserve">What is not in question: the field is weakening now, and the SAA is growing and splitting (</w:t>
      </w:r>
      <w:hyperlink r:id="rId3" w:history="1">
        <w:r>
          <w:rPr>
            <w:rStyle w:val="Hyperlink"/>
          </w:rPr>
          <w:t xml:space="preserve">Finlay et al., 2025</w:t>
        </w:r>
      </w:hyperlink>
      <w:r>
        <w:t xml:space="preserve">).</w:t>
      </w:r>
    </w:p>
    <w:p>
      <w:pPr/>
      <w:r>
        <w:t xml:space="preserve">For argument 4 to stand, it needs an independent anchor: a different period, a different start date, or a mechanism that shifts the cadence. That is open for the author's framework to supply.</w:t>
      </w:r>
    </w:p>
    <w:p>
      <w:pPr>
        <w:pStyle w:val="Heading2"/>
      </w:pPr>
      <w:r>
        <w:t xml:space="preserve">References</w:t>
      </w:r>
    </w:p>
    <w:p>
      <w:pPr>
        <w:pStyle w:val="ListParagraph"/>
        <w:numPr>
          <w:ilvl w:val="0"/>
          <w:numId w:val="9"/>
        </w:numPr>
      </w:pPr>
      <w:r>
        <w:t xml:space="preserve">Gómez-Paccard, M., et al. (2026). Tracing the origins and recurrence of the South Atlantic Anomaly: A 2000-year absolute paleointensity record from central South America. </w:t>
      </w:r>
      <w:r>
        <w:rPr>
          <w:i/>
        </w:rPr>
        <w:t xml:space="preserve">PNAS</w:t>
      </w:r>
      <w:r>
        <w:t xml:space="preserve">, 123(20). </w:t>
      </w:r>
      <w:hyperlink r:id="rId5" w:history="1">
        <w:r>
          <w:rPr>
            <w:rStyle w:val="Hyperlink"/>
          </w:rPr>
          <w:t xml:space="preserve">doi:10.1073/pnas.2536503123</w:t>
        </w:r>
      </w:hyperlink>
    </w:p>
    <w:p>
      <w:pPr>
        <w:pStyle w:val="ListParagraph"/>
        <w:numPr>
          <w:ilvl w:val="0"/>
          <w:numId w:val="9"/>
        </w:numPr>
      </w:pPr>
      <w:r>
        <w:t xml:space="preserve">Nilsson, A., Suttie, N., Stoner, J. S., &amp; Muscheler, R. (2022). Recurrent ancient geomagnetic field anomalies shed light on future evolution of the South Atlantic Anomaly. </w:t>
      </w:r>
      <w:r>
        <w:rPr>
          <w:i/>
        </w:rPr>
        <w:t xml:space="preserve">PNAS</w:t>
      </w:r>
      <w:r>
        <w:t xml:space="preserve">, 119(24), e2200749119. </w:t>
      </w:r>
      <w:hyperlink r:id="rId4" w:history="1">
        <w:r>
          <w:rPr>
            <w:rStyle w:val="Hyperlink"/>
          </w:rPr>
          <w:t xml:space="preserve">doi:10.1073/pnas.2200749119</w:t>
        </w:r>
      </w:hyperlink>
    </w:p>
    <w:p>
      <w:pPr>
        <w:pStyle w:val="ListParagraph"/>
        <w:numPr>
          <w:ilvl w:val="0"/>
          <w:numId w:val="9"/>
        </w:numPr>
      </w:pPr>
      <w:r>
        <w:t xml:space="preserve">Engbers, Y. A., et al. (2020). Elevated paleomagnetic dispersion at Saint Helena suggests long-lived anomalous behavior in the South Atlantic. </w:t>
      </w:r>
      <w:r>
        <w:rPr>
          <w:i/>
        </w:rPr>
        <w:t xml:space="preserve">PNAS</w:t>
      </w:r>
      <w:r>
        <w:t xml:space="preserve">. </w:t>
      </w:r>
      <w:hyperlink r:id="rId6" w:history="1">
        <w:r>
          <w:rPr>
            <w:rStyle w:val="Hyperlink"/>
          </w:rPr>
          <w:t xml:space="preserve">doi:10.1073/pnas.2001217117</w:t>
        </w:r>
      </w:hyperlink>
    </w:p>
    <w:p>
      <w:pPr>
        <w:pStyle w:val="ListParagraph"/>
        <w:numPr>
          <w:ilvl w:val="0"/>
          <w:numId w:val="9"/>
        </w:numPr>
      </w:pPr>
      <w:r>
        <w:t xml:space="preserve">Finlay, C. C., et al. (2025). Core field changes from eleven years of Swarm satellite observations. </w:t>
      </w:r>
      <w:r>
        <w:rPr>
          <w:i/>
        </w:rPr>
        <w:t xml:space="preserve">Physics of the Earth and Planetary Interiors</w:t>
      </w:r>
      <w:r>
        <w:t xml:space="preserve">. </w:t>
      </w:r>
      <w:hyperlink r:id="rId3" w:history="1">
        <w:r>
          <w:rPr>
            <w:rStyle w:val="Hyperlink"/>
          </w:rPr>
          <w:t xml:space="preserve">doi:10.1016/j.pepi.2025.107447</w:t>
        </w:r>
      </w:hyperlink>
    </w:p>
    <w:p>
      <w:pPr>
        <w:pStyle w:val="ListParagraph"/>
        <w:numPr>
          <w:ilvl w:val="0"/>
          <w:numId w:val="9"/>
        </w:numPr>
      </w:pPr>
      <w:r>
        <w:t xml:space="preserve">Cooper, A., Turney, C. S. M., Palmer, J., et al. (2021). A global environmental crisis 42,000 years ago. </w:t>
      </w:r>
      <w:r>
        <w:rPr>
          <w:i/>
        </w:rPr>
        <w:t xml:space="preserve">Science</w:t>
      </w:r>
      <w:r>
        <w:t xml:space="preserve">, 371(6531), 811–818. </w:t>
      </w:r>
      <w:hyperlink r:id="rId8" w:history="1">
        <w:r>
          <w:rPr>
            <w:rStyle w:val="Hyperlink"/>
          </w:rPr>
          <w:t xml:space="preserve">doi:10.1126/science.abb8677</w:t>
        </w:r>
      </w:hyperlink>
    </w:p>
    <w:p>
      <w:pPr>
        <w:pStyle w:val="ListParagraph"/>
        <w:numPr>
          <w:ilvl w:val="0"/>
          <w:numId w:val="9"/>
        </w:numPr>
      </w:pPr>
      <w:r>
        <w:t xml:space="preserve">Comment on "A global environmental crisis 42,000 years ago" (2021). </w:t>
      </w:r>
      <w:r>
        <w:rPr>
          <w:i/>
        </w:rPr>
        <w:t xml:space="preserve">Science</w:t>
      </w:r>
      <w:r>
        <w:t xml:space="preserve">, 374(6570), eabi8330. </w:t>
      </w:r>
      <w:hyperlink r:id="rId10" w:history="1">
        <w:r>
          <w:rPr>
            <w:rStyle w:val="Hyperlink"/>
          </w:rPr>
          <w:t xml:space="preserve">doi:10.1126/science.abi8330</w:t>
        </w:r>
      </w:hyperlink>
    </w:p>
    <w:p>
      <w:pPr>
        <w:pStyle w:val="ListParagraph"/>
        <w:numPr>
          <w:ilvl w:val="0"/>
          <w:numId w:val="9"/>
        </w:numPr>
      </w:pPr>
      <w:r>
        <w:t xml:space="preserve">Cooper, A., et al. (2021). Response to comment on "A global environmental crisis 42,000 years ago". </w:t>
      </w:r>
      <w:r>
        <w:rPr>
          <w:i/>
        </w:rPr>
        <w:t xml:space="preserve">Science</w:t>
      </w:r>
      <w:r>
        <w:t xml:space="preserve">, 374(6570). </w:t>
      </w:r>
      <w:hyperlink r:id="rId11" w:history="1">
        <w:r>
          <w:rPr>
            <w:rStyle w:val="Hyperlink"/>
          </w:rPr>
          <w:t xml:space="preserve">doi:10.1126/science.abh3655</w:t>
        </w:r>
      </w:hyperlink>
    </w:p>
    <w:p>
      <w:pPr>
        <w:pStyle w:val="ListParagraph"/>
        <w:numPr>
          <w:ilvl w:val="0"/>
          <w:numId w:val="9"/>
        </w:numPr>
      </w:pPr>
      <w:r>
        <w:t xml:space="preserve">Mukhopadhyay, A., Panovska, S., Garvey, R., et al. (2025). Wandering of the auroral oval 41,000 years ago. </w:t>
      </w:r>
      <w:r>
        <w:rPr>
          <w:i/>
        </w:rPr>
        <w:t xml:space="preserve">Science Advances</w:t>
      </w:r>
      <w:r>
        <w:t xml:space="preserve">, 11(16), eadq7275. </w:t>
      </w:r>
      <w:hyperlink r:id="rId7" w:history="1">
        <w:r>
          <w:rPr>
            <w:rStyle w:val="Hyperlink"/>
          </w:rPr>
          <w:t xml:space="preserve">doi:10.1126/sciadv.adq7275</w:t>
        </w:r>
      </w:hyperlink>
    </w:p>
    <w:p>
      <w:pPr>
        <w:pStyle w:val="ListParagraph"/>
        <w:numPr>
          <w:ilvl w:val="0"/>
          <w:numId w:val="9"/>
        </w:numPr>
      </w:pPr>
      <w:r>
        <w:t xml:space="preserve">Arsenović, P., Rozanov, E., Usoskin, I., et al. (2024). Global impacts of an extreme solar particle event under different geomagnetic field strengths. </w:t>
      </w:r>
      <w:r>
        <w:rPr>
          <w:i/>
        </w:rPr>
        <w:t xml:space="preserve">PNAS</w:t>
      </w:r>
      <w:r>
        <w:t xml:space="preserve">, 121(28), e2321770121. </w:t>
      </w:r>
      <w:hyperlink r:id="rId12" w:history="1">
        <w:r>
          <w:rPr>
            <w:rStyle w:val="Hyperlink"/>
          </w:rPr>
          <w:t xml:space="preserve">doi:10.1073/pnas.2321770121</w:t>
        </w:r>
      </w:hyperlink>
    </w:p>
    <w:p>
      <w:pPr>
        <w:pStyle w:val="ListParagraph"/>
        <w:numPr>
          <w:ilvl w:val="0"/>
          <w:numId w:val="9"/>
        </w:numPr>
      </w:pPr>
      <w:r>
        <w:t xml:space="preserve">Nowaczyk, N. R., et al. (2025). The Mono Lake and Laschamps geomagnetic excursions recorded by sediments in the Drake Passage. </w:t>
      </w:r>
      <w:r>
        <w:rPr>
          <w:i/>
        </w:rPr>
        <w:t xml:space="preserve">Journal of Geophysical Research: Solid Earth</w:t>
      </w:r>
      <w:r>
        <w:t xml:space="preserve">. </w:t>
      </w:r>
      <w:hyperlink r:id="rId14" w:history="1">
        <w:r>
          <w:rPr>
            <w:rStyle w:val="Hyperlink"/>
          </w:rPr>
          <w:t xml:space="preserve">doi:10.1029/2024JB029835</w:t>
        </w:r>
      </w:hyperlink>
    </w:p>
    <w:p>
      <w:pPr>
        <w:pStyle w:val="ListParagraph"/>
        <w:numPr>
          <w:ilvl w:val="0"/>
          <w:numId w:val="9"/>
        </w:numPr>
      </w:pPr>
      <w:r>
        <w:t xml:space="preserve">Liu, J., Nowaczyk, N. R., Panovska, S., Korte, M., &amp; Arz, H. W. (2020). The Norwegian–Greenland Sea, the Laschamps, and the Mono Lake excursions recorded in a Black Sea sedimentary sequence spanning from 68.9 to 14.5 ka. </w:t>
      </w:r>
      <w:r>
        <w:rPr>
          <w:i/>
        </w:rPr>
        <w:t xml:space="preserve">JGR: Solid Earth</w:t>
      </w:r>
      <w:r>
        <w:t xml:space="preserve">, 125(8). </w:t>
      </w:r>
      <w:hyperlink r:id="rId15" w:history="1">
        <w:r>
          <w:rPr>
            <w:rStyle w:val="Hyperlink"/>
          </w:rPr>
          <w:t xml:space="preserve">doi:10.1029/2019JB019225</w:t>
        </w:r>
      </w:hyperlink>
    </w:p>
    <w:p>
      <w:pPr>
        <w:pStyle w:val="ListParagraph"/>
        <w:numPr>
          <w:ilvl w:val="0"/>
          <w:numId w:val="9"/>
        </w:numPr>
      </w:pPr>
      <w:r>
        <w:t xml:space="preserve">Di Chiara, A., et al. (2025). A continuous 150-kyr record of geomagnetic field variations from Lake Chala, eastern equatorial Africa. </w:t>
      </w:r>
      <w:r>
        <w:rPr>
          <w:i/>
        </w:rPr>
        <w:t xml:space="preserve">Geochemistry, Geophysics, Geosystems</w:t>
      </w:r>
      <w:r>
        <w:t xml:space="preserve">. DOI not yet retrieved.</w:t>
      </w:r>
    </w:p>
    <w:p>
      <w:pPr>
        <w:pStyle w:val="ListParagraph"/>
        <w:numPr>
          <w:ilvl w:val="0"/>
          <w:numId w:val="9"/>
        </w:numPr>
      </w:pPr>
      <w:r>
        <w:t xml:space="preserve">Laschamps-UV: Reconstructions of UV-B radiation across the Laschamps geomagnetic excursion. University of Bergen. </w:t>
      </w:r>
      <w:hyperlink r:id="rId9" w:history="1">
        <w:r>
          <w:rPr>
            <w:rStyle w:val="Hyperlink"/>
          </w:rPr>
          <w:t xml:space="preserve">Project page</w:t>
        </w:r>
      </w:hyperlink>
      <w:r>
        <w:t xml:space="preserve"> (no DOI).</w:t>
      </w:r>
    </w:p>
    <w:p>
      <w:pPr>
        <w:pStyle w:val="ListParagraph"/>
        <w:numPr>
          <w:ilvl w:val="0"/>
          <w:numId w:val="9"/>
        </w:numPr>
      </w:pPr>
      <w:r>
        <w:t xml:space="preserve">Possible effects of geomagnetic polarity transitions on the biosphere. German Research Foundation (DFG), project 14249322. </w:t>
      </w:r>
      <w:hyperlink r:id="rId13" w:history="1">
        <w:r>
          <w:rPr>
            <w:rStyle w:val="Hyperlink"/>
          </w:rPr>
          <w:t xml:space="preserve">Project page</w:t>
        </w:r>
      </w:hyperlink>
      <w:r>
        <w:t xml:space="preserve"> (no DOI).</w:t>
      </w:r>
    </w:p>
    <w:p>
      <w:pPr>
        <w:pStyle w:val="ListParagraph"/>
        <w:numPr>
          <w:ilvl w:val="0"/>
          <w:numId w:val="9"/>
        </w:numPr>
      </w:pPr>
      <w:r>
        <w:t xml:space="preserve">Kunferman, C. R. Dipole-position field simulation. DOI to be added.</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0"/>
  </w:num>
  <w:num w:numId="5">
    <w:abstractNumId w:val="0"/>
  </w:num>
  <w:num w:numId="6">
    <w:abstractNumId w:val="1"/>
    <w:lvlOverride w:ilvl="0">
      <w:startOverride w:val="1"/>
    </w:lvlOverride>
  </w:num>
  <w:num w:numId="7">
    <w:abstractNumId w:val="0"/>
  </w:num>
  <w:num w:numId="8">
    <w:abstractNumId w:val="0"/>
  </w:num>
  <w:num w:numId="9">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doi.org/10.1016/j.pepi.2025.107447" TargetMode="External"/><Relationship Id="rId4" Type="http://schemas.openxmlformats.org/officeDocument/2006/relationships/hyperlink" Target="https://doi.org/10.1073/pnas.2200749119" TargetMode="External"/><Relationship Id="rId5" Type="http://schemas.openxmlformats.org/officeDocument/2006/relationships/hyperlink" Target="https://doi.org/10.1073/pnas.2536503123" TargetMode="External"/><Relationship Id="rId6" Type="http://schemas.openxmlformats.org/officeDocument/2006/relationships/hyperlink" Target="https://doi.org/10.1073/pnas.2001217117" TargetMode="External"/><Relationship Id="rId7" Type="http://schemas.openxmlformats.org/officeDocument/2006/relationships/hyperlink" Target="https://doi.org/10.1126/sciadv.adq7275" TargetMode="External"/><Relationship Id="rId8" Type="http://schemas.openxmlformats.org/officeDocument/2006/relationships/hyperlink" Target="https://doi.org/10.1126/science.abb8677" TargetMode="External"/><Relationship Id="rId9" Type="http://schemas.openxmlformats.org/officeDocument/2006/relationships/hyperlink" Target="https://www4.uib.no/en/research/research-projects/laschamps-uv" TargetMode="External"/><Relationship Id="rId10" Type="http://schemas.openxmlformats.org/officeDocument/2006/relationships/hyperlink" Target="https://doi.org/10.1126/science.abi8330" TargetMode="External"/><Relationship Id="rId11" Type="http://schemas.openxmlformats.org/officeDocument/2006/relationships/hyperlink" Target="https://doi.org/10.1126/science.abh3655" TargetMode="External"/><Relationship Id="rId12" Type="http://schemas.openxmlformats.org/officeDocument/2006/relationships/hyperlink" Target="https://doi.org/10.1073/pnas.2321770121" TargetMode="External"/><Relationship Id="rId13" Type="http://schemas.openxmlformats.org/officeDocument/2006/relationships/hyperlink" Target="https://gepris.dfg.de/gepris/projekt/14249322" TargetMode="External"/><Relationship Id="rId14" Type="http://schemas.openxmlformats.org/officeDocument/2006/relationships/hyperlink" Target="https://doi.org/10.1029/2024JB029835" TargetMode="External"/><Relationship Id="rId15" Type="http://schemas.openxmlformats.org/officeDocument/2006/relationships/hyperlink" Target="https://doi.org/10.1029/2019JB019225"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The Recurrence Argument What the South Atlantic Anomaly Papers Leave Out</dc:title>
  <dc:description>Claude Docs node/487a7400-d299@9 docx-w6</dc:description>
  <cp:revision>9</cp:revision>
</cp:coreProperties>
</file>