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What Happened in the Windows</w:t>
      </w:r>
    </w:p>
    <w:p>
      <w:pPr/>
      <w:r>
        <w:t xml:space="preserve">Oct 8, 2026</w:t>
      </w:r>
      <w:r>
        <w:t xml:space="preserve"> · </w:t>
      </w:r>
      <w:r>
        <w:t xml:space="preserve">@C.R. Kunferman, Founder Of The Journal Of Experiential Research</w:t>
      </w:r>
    </w:p>
    <w:p>
      <w:pPr/>
      <w:r>
        <w:t xml:space="preserve">The recent recurrence papers track where Earth's magnetic weak spots appear, how they move, and how often they come back. They stop there. None of them asks the question that matters to anything alive: what happens on the surface while the shield is down?</w:t>
      </w:r>
    </w:p>
    <w:p>
      <w:pPr/>
      <w:r>
        <w:t xml:space="preserve">That question has an answer, and the answer is not speculative. The magnetic field is a shield against the Sun. When it weakens, more of the Sun's energetic particles reach the atmosphere. That is measured directly, every time, in the radioactive carbon and beryllium those particles leave behind. The particles break down the ozone layer, more ultraviolet reaches the surface, and ultraviolet damages the organisms at the base of the food web that produce about half of Earth's oxygen.</w:t>
      </w:r>
    </w:p>
    <w:p>
      <w:pPr/>
      <w:r>
        <w:t xml:space="preserve">This paper lays that chain out link by link, shows it firing in each weakened-field window the record can date, and sets it against what is happening over the South Atlantic now. Saying "it has happened before" is not reassurance. It is the evidence.</w:t>
      </w:r>
    </w:p>
    <w:p>
      <w:pPr>
        <w:pStyle w:val="Heading2"/>
      </w:pPr>
      <w:r>
        <w:t xml:space="preserve">The shield and the chain of cause</w:t>
      </w:r>
    </w:p>
    <w:p>
      <w:pPr/>
      <w:r>
        <w:t xml:space="preserve">The magnetic field does not block sunlight. It blocks charged particles: the solar wind, the bursts of high-energy protons the Sun throws off in solar particle events, and cosmic rays from deep space. It steers them toward the poles, which is why auroras normally stay at high latitudes. The ozone layer is what blocks ultraviolet light. The magnetic field protects the ozone layer.</w:t>
      </w:r>
    </w:p>
    <w:p>
      <w:pPr/>
      <w:r>
        <w:t xml:space="preserve">So the causal chain runs like this, and every link is established on its own:</w:t>
      </w:r>
    </w:p>
    <w:p>
      <w:pPr>
        <w:pStyle w:val="ListParagraph"/>
        <w:numPr>
          <w:ilvl w:val="0"/>
          <w:numId w:val="2"/>
        </w:numPr>
      </w:pPr>
      <w:r>
        <w:rPr>
          <w:b/>
        </w:rPr>
        <w:t xml:space="preserve">The field deflects charged particles from the Sun and from space.</w:t>
      </w:r>
      <w:r>
        <w:t xml:space="preserve"> This is the job of the field, and it's why satellites passing through the South Atlantic Anomaly today take radiation hits the rest of their orbit doesn't.</w:t>
      </w:r>
    </w:p>
    <w:p>
      <w:pPr>
        <w:pStyle w:val="ListParagraph"/>
        <w:numPr>
          <w:ilvl w:val="0"/>
          <w:numId w:val="2"/>
        </w:numPr>
      </w:pPr>
      <w:r>
        <w:rPr>
          <w:b/>
        </w:rPr>
        <w:t xml:space="preserve">When the field weakens, more particles get in, and at lower latitudes.</w:t>
      </w:r>
      <w:r>
        <w:t xml:space="preserve"> During Laschamps the field fell to about 10% of today's strength, and modeling shows the auroral zone spreading over Europe and northern Africa, with large areas exposed to solar and cosmic radiation (</w:t>
      </w:r>
      <w:hyperlink r:id="rId3" w:history="1">
        <w:r>
          <w:rPr>
            <w:rStyle w:val="Hyperlink"/>
          </w:rPr>
          <w:t xml:space="preserve">Mukhopadhyay et al., 2025</w:t>
        </w:r>
      </w:hyperlink>
      <w:r>
        <w:t xml:space="preserve">).</w:t>
      </w:r>
    </w:p>
    <w:p>
      <w:pPr>
        <w:pStyle w:val="ListParagraph"/>
        <w:numPr>
          <w:ilvl w:val="0"/>
          <w:numId w:val="2"/>
        </w:numPr>
      </w:pPr>
      <w:r>
        <w:rPr>
          <w:b/>
        </w:rPr>
        <w:t xml:space="preserve">The extra particles are measured, not inferred.</w:t>
      </w:r>
      <w:r>
        <w:t xml:space="preserve"> Cosmic rays striking the atmosphere make carbon-14 and beryllium-10. During Laschamps, beryllium-10 production ran at about twice the normal rate (</w:t>
      </w:r>
      <w:hyperlink r:id="rId4" w:history="1">
        <w:r>
          <w:rPr>
            <w:rStyle w:val="Hyperlink"/>
          </w:rPr>
          <w:t xml:space="preserve">Panovska, EGU 2024, via Universe Today</w:t>
        </w:r>
      </w:hyperlink>
      <w:r>
        <w:t xml:space="preserve">), and ocean radiocarbon rose to about 1,215 per mil above normal (</w:t>
      </w:r>
      <w:hyperlink r:id="rId5" w:history="1">
        <w:r>
          <w:rPr>
            <w:rStyle w:val="Hyperlink"/>
          </w:rPr>
          <w:t xml:space="preserve">Radiocarbon, 2000</w:t>
        </w:r>
      </w:hyperlink>
      <w:r>
        <w:t xml:space="preserve">). These are dosimeter readings of the shield failing.</w:t>
      </w:r>
    </w:p>
    <w:p>
      <w:pPr>
        <w:pStyle w:val="ListParagraph"/>
        <w:numPr>
          <w:ilvl w:val="0"/>
          <w:numId w:val="2"/>
        </w:numPr>
      </w:pPr>
      <w:r>
        <w:rPr>
          <w:b/>
        </w:rPr>
        <w:t xml:space="preserve">The particles destroy ozone.</w:t>
      </w:r>
      <w:r>
        <w:t xml:space="preserve"> Incoming particles produce nitrogen and hydrogen oxides that break down ozone. A 2024 PNAS study modeled an extreme solar particle event under weakened fields and found reduced stratospheric ozone and elevated harmful UV at the surface; with no field at all, the authors warn of significant UV-driven damage to DNA (</w:t>
      </w:r>
      <w:hyperlink r:id="rId6" w:history="1">
        <w:r>
          <w:rPr>
            <w:rStyle w:val="Hyperlink"/>
          </w:rPr>
          <w:t xml:space="preserve">Arsenović et al., 2024</w:t>
        </w:r>
      </w:hyperlink>
      <w:r>
        <w:t xml:space="preserve">).</w:t>
      </w:r>
    </w:p>
    <w:p>
      <w:pPr>
        <w:pStyle w:val="ListParagraph"/>
        <w:numPr>
          <w:ilvl w:val="0"/>
          <w:numId w:val="2"/>
        </w:numPr>
      </w:pPr>
      <w:r>
        <w:rPr>
          <w:b/>
        </w:rPr>
        <w:t xml:space="preserve">More UV reaches the surface and the sea.</w:t>
      </w:r>
      <w:r>
        <w:t xml:space="preserve"> That UV falls on everything exposed to sunlight, including the microscopic plants that make much of the oxygen in the air.</w:t>
      </w:r>
    </w:p>
    <w:p>
      <w:pPr/>
      <w:r>
        <w:t xml:space="preserve">The Sun is the agent. The field is the shield. Take the shield down and the Sun does the damage. That is an indirect cause, but it is a physical one, and each step is documented.</w:t>
      </w:r>
    </w:p>
    <w:p>
      <w:pPr>
        <w:pStyle w:val="Heading2"/>
      </w:pPr>
      <w:r>
        <w:t xml:space="preserve">What comes through</w:t>
      </w:r>
    </w:p>
    <w:p>
      <w:pPr/>
      <w:r>
        <w:t xml:space="preserve">Sunlight's ultraviolet comes in bands, and ozone handles them differently:</w:t>
      </w:r>
    </w:p>
    <w:p>
      <w:pPr>
        <w:pStyle w:val="ListParagraph"/>
        <w:numPr>
          <w:ilvl w:val="0"/>
          <w:numId w:val="3"/>
        </w:numPr>
      </w:pPr>
      <w:r>
        <w:rPr>
          <w:b/>
        </w:rPr>
        <w:t xml:space="preserve">UV-C</w:t>
      </w:r>
      <w:r>
        <w:t xml:space="preserve"> (the shortest, most dangerous) is absorbed completely high in the atmosphere.</w:t>
      </w:r>
    </w:p>
    <w:p>
      <w:pPr>
        <w:pStyle w:val="ListParagraph"/>
        <w:numPr>
          <w:ilvl w:val="0"/>
          <w:numId w:val="3"/>
        </w:numPr>
      </w:pPr>
      <w:r>
        <w:rPr>
          <w:b/>
        </w:rPr>
        <w:t xml:space="preserve">UV-B</w:t>
      </w:r>
      <w:r>
        <w:t xml:space="preserve"> (280–320 nm) is the band ozone controls. As ozone thins, UV-B at the surface rises sharply. This is the band a weakened field lets through.</w:t>
      </w:r>
    </w:p>
    <w:p>
      <w:pPr>
        <w:pStyle w:val="ListParagraph"/>
        <w:numPr>
          <w:ilvl w:val="0"/>
          <w:numId w:val="3"/>
        </w:numPr>
      </w:pPr>
      <w:r>
        <w:rPr>
          <w:b/>
        </w:rPr>
        <w:t xml:space="preserve">UV-A</w:t>
      </w:r>
      <w:r>
        <w:t xml:space="preserve"> (320–400 nm) passes through ozone largely unchanged whether the layer is thick or thin (</w:t>
      </w:r>
      <w:hyperlink r:id="rId7" w:history="1">
        <w:r>
          <w:rPr>
            <w:rStyle w:val="Hyperlink"/>
          </w:rPr>
          <w:t xml:space="preserve">Smith &amp; Baker, </w:t>
        </w:r>
      </w:hyperlink>
      <w:hyperlink r:id="rId7" w:history="1">
        <w:r>
          <w:rPr>
            <w:rStyle w:val="Hyperlink"/>
            <w:i/>
          </w:rPr>
          <w:t xml:space="preserve">Oceanography</w:t>
        </w:r>
      </w:hyperlink>
      <w:r>
        <w:t xml:space="preserve">). Ozone loss doesn't raise it, but it is already doing harm: it measurably inhibits photosynthesis in marine plankton (</w:t>
      </w:r>
      <w:hyperlink r:id="rId8" w:history="1">
        <w:r>
          <w:rPr>
            <w:rStyle w:val="Hyperlink"/>
          </w:rPr>
          <w:t xml:space="preserve">Cullen et al., 1992</w:t>
        </w:r>
      </w:hyperlink>
      <w:r>
        <w:t xml:space="preserve">).</w:t>
      </w:r>
    </w:p>
    <w:p>
      <w:pPr/>
      <w:r>
        <w:t xml:space="preserve">So the harm stacks. UV-A is a constant load that ocean life already carries. A weakened field adds UV-B on top of it, and UV-B does more damage per unit of light than UV-A does.</w:t>
      </w:r>
    </w:p>
    <w:p>
      <w:pPr/>
      <w:r>
        <w:t xml:space="preserve">This is not an abstraction tied only to the deep past. Researchers at the University of Bergen state the chain plainly: modeling indicates that the field's decline before Laschamps raised surface UV-B, driving climate shifts, vegetation change and even extinctions. They are now reconstructing that UV-B directly from chemical changes in fossil pollen (</w:t>
      </w:r>
      <w:hyperlink r:id="rId9" w:history="1">
        <w:r>
          <w:rPr>
            <w:rStyle w:val="Hyperlink"/>
          </w:rPr>
          <w:t xml:space="preserve">Laschamps-UV project</w:t>
        </w:r>
      </w:hyperlink>
      <w:r>
        <w:t xml:space="preserve">).</w:t>
      </w:r>
    </w:p>
    <w:p>
      <w:pPr>
        <w:pStyle w:val="Heading2"/>
      </w:pPr>
      <w:r>
        <w:t xml:space="preserve">The ocean: where the damage lands hardest</w:t>
      </w:r>
    </w:p>
    <w:p>
      <w:pPr/>
      <w:r>
        <w:t xml:space="preserve">Phytoplankton are microscopic drifting plants in the sunlit top of the ocean. They are the base of the marine food web, and they produce roughly half of all the oxygen made on Earth each year. NOAA puts the ocean's share at about half; some estimates run higher, up to 50–85% (</w:t>
      </w:r>
      <w:hyperlink r:id="rId10" w:history="1">
        <w:r>
          <w:rPr>
            <w:rStyle w:val="Hyperlink"/>
          </w:rPr>
          <w:t xml:space="preserve">NOAA Ocean Service</w:t>
        </w:r>
      </w:hyperlink>
      <w:r>
        <w:t xml:space="preserve">; </w:t>
      </w:r>
      <w:hyperlink r:id="rId11" w:history="1">
        <w:r>
          <w:rPr>
            <w:rStyle w:val="Hyperlink"/>
          </w:rPr>
          <w:t xml:space="preserve">EarthSky</w:t>
        </w:r>
      </w:hyperlink>
      <w:r>
        <w:t xml:space="preserve">). One cyanobacterium alone, </w:t>
      </w:r>
      <w:r>
        <w:rPr>
          <w:i/>
        </w:rPr>
        <w:t xml:space="preserve">Prochlorococcus</w:t>
      </w:r>
      <w:r>
        <w:t xml:space="preserve">, produces up to about 20% of the oxygen in the biosphere, more than all tropical rainforests combined. Every second breath you take traces back to them.</w:t>
      </w:r>
    </w:p>
    <w:p>
      <w:pPr/>
      <w:r>
        <w:t xml:space="preserve">They live where the UV is. To photosynthesize, they have to stay in the top layer of water where light reaches, and UV-B penetrates more than 50 meters into clear Antarctic water (</w:t>
      </w:r>
      <w:hyperlink r:id="rId12" w:history="1">
        <w:r>
          <w:rPr>
            <w:rStyle w:val="Hyperlink"/>
          </w:rPr>
          <w:t xml:space="preserve">Australian Antarctic Division study</w:t>
        </w:r>
      </w:hyperlink>
      <w:r>
        <w:t xml:space="preserve">). They can't hide from it the way land animals can.</w:t>
      </w:r>
    </w:p>
    <w:p>
      <w:pPr/>
      <w:r>
        <w:t xml:space="preserve">The damage has been measured in our own lifetimes. When the Antarctic ozone hole opened, it became a live experiment in exactly this mechanism:</w:t>
      </w:r>
    </w:p>
    <w:p>
      <w:pPr>
        <w:pStyle w:val="ListParagraph"/>
        <w:numPr>
          <w:ilvl w:val="0"/>
          <w:numId w:val="4"/>
        </w:numPr>
      </w:pPr>
      <w:r>
        <w:t xml:space="preserve">Field measurements found the extra UV-B cut phytoplankton productivity in Antarctic waters by at least 6–12% (Smith et al., 1992, reported in </w:t>
      </w:r>
      <w:hyperlink r:id="rId13" w:history="1">
        <w:r>
          <w:rPr>
            <w:rStyle w:val="Hyperlink"/>
          </w:rPr>
          <w:t xml:space="preserve">Christian Science Monitor, 1993</w:t>
        </w:r>
      </w:hyperlink>
      <w:r>
        <w:t xml:space="preserve">).</w:t>
      </w:r>
    </w:p>
    <w:p>
      <w:pPr>
        <w:pStyle w:val="ListParagraph"/>
        <w:numPr>
          <w:ilvl w:val="0"/>
          <w:numId w:val="4"/>
        </w:numPr>
      </w:pPr>
      <w:r>
        <w:t xml:space="preserve">Laboratory modeling found the ozone hole could reduce near-surface photosynthesis by 12–15%, and that UV-B is even more damaging than UV-A, which already inhibits photosynthesis on its own (</w:t>
      </w:r>
      <w:hyperlink r:id="rId8" w:history="1">
        <w:r>
          <w:rPr>
            <w:rStyle w:val="Hyperlink"/>
          </w:rPr>
          <w:t xml:space="preserve">Cullen et al., 1992, </w:t>
        </w:r>
      </w:hyperlink>
      <w:hyperlink r:id="rId8" w:history="1">
        <w:r>
          <w:rPr>
            <w:rStyle w:val="Hyperlink"/>
            <w:i/>
          </w:rPr>
          <w:t xml:space="preserve">Science</w:t>
        </w:r>
      </w:hyperlink>
      <w:r>
        <w:t xml:space="preserve">).</w:t>
      </w:r>
    </w:p>
    <w:p>
      <w:pPr/>
      <w:r>
        <w:t xml:space="preserve">That damage came from ozone loss over one region, for a few months each spring. A weakened magnetic field thins ozone through a different trigger, but the result at the water's surface is the same: more UV-B on the organisms that make the oxygen. During Laschamps the shield was down to a tenth of its strength across the whole planet for centuries, not one season over one continent.</w:t>
      </w:r>
    </w:p>
    <w:p>
      <w:pPr/>
      <w:r>
        <w:t xml:space="preserve">The ozone-hole studies also show the system has some give. Phytoplankton make protective compounds, and losses in one region are partly offset elsewhere, so short local damage doesn't automatically become global collapse. What decides the outcome is scale: how much of the ocean is exposed, for how long. That is exactly what a weakened field changes.</w:t>
      </w:r>
    </w:p>
    <w:p>
      <w:pPr>
        <w:pStyle w:val="Heading2"/>
      </w:pPr>
      <w:r>
        <w:t xml:space="preserve">When it recurs: what happened in each window</w:t>
      </w:r>
    </w:p>
    <w:p>
      <w:pPr/>
      <w:r>
        <w:t xml:space="preserve">Every time the record lets us date a weakened field well, two things show up: a measured surge of radiation into the atmosphere, and upheaval on the surface.</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Window</w:t>
            </w:r>
          </w:p>
        </w:tc>
        <w:tc>
          <w:tcPr>
            <w:tcW w:w="2340" w:type="dxa"/>
            <w:shd w:val="clear" w:color="auto" w:fill="F2F2F2"/>
          </w:tcPr>
          <w:p>
            <w:pPr/>
            <w:r>
              <w:t xml:space="preserve">When</w:t>
            </w:r>
          </w:p>
        </w:tc>
        <w:tc>
          <w:tcPr>
            <w:tcW w:w="2340" w:type="dxa"/>
            <w:shd w:val="clear" w:color="auto" w:fill="F2F2F2"/>
          </w:tcPr>
          <w:p>
            <w:pPr/>
            <w:r>
              <w:t xml:space="preserve">Shield signal</w:t>
            </w:r>
          </w:p>
        </w:tc>
        <w:tc>
          <w:tcPr>
            <w:tcW w:w="2340" w:type="dxa"/>
            <w:shd w:val="clear" w:color="auto" w:fill="F2F2F2"/>
          </w:tcPr>
          <w:p>
            <w:pPr/>
            <w:r>
              <w:t xml:space="preserve">What happened on the surface</w:t>
            </w:r>
          </w:p>
        </w:tc>
      </w:tr>
      <w:tr>
        <w:tc>
          <w:tcPr>
            <w:tcW w:w="2340" w:type="dxa"/>
          </w:tcPr>
          <w:p>
            <w:pPr/>
            <w:r>
              <w:t xml:space="preserve">Blake</w:t>
            </w:r>
          </w:p>
        </w:tc>
        <w:tc>
          <w:tcPr>
            <w:tcW w:w="2340" w:type="dxa"/>
          </w:tcPr>
          <w:p>
            <w:pPr/>
            <w:r>
              <w:t xml:space="preserve">~112,000–116,400 years ago</w:t>
            </w:r>
          </w:p>
        </w:tc>
        <w:tc>
          <w:tcPr>
            <w:tcW w:w="2340" w:type="dxa"/>
          </w:tcPr>
          <w:p>
            <w:pPr/>
            <w:r>
              <w:t xml:space="preserve">Field-strength low ~114,500–113,000</w:t>
            </w:r>
          </w:p>
        </w:tc>
        <w:tc>
          <w:tcPr>
            <w:tcW w:w="2340" w:type="dxa"/>
          </w:tcPr>
          <w:p>
            <w:pPr/>
            <w:r>
              <w:t xml:space="preserve">Sharp cooling recorded in every proxy in a Spanish cave formation; the last warm interglacial ends; local glaciation follows</w:t>
            </w:r>
          </w:p>
        </w:tc>
      </w:tr>
      <w:tr>
        <w:tc>
          <w:tcPr>
            <w:tcW w:w="2340" w:type="dxa"/>
          </w:tcPr>
          <w:p>
            <w:pPr/>
            <w:r>
              <w:t xml:space="preserve">Post-Blake</w:t>
            </w:r>
          </w:p>
        </w:tc>
        <w:tc>
          <w:tcPr>
            <w:tcW w:w="2340" w:type="dxa"/>
          </w:tcPr>
          <w:p>
            <w:pPr/>
            <w:r>
              <w:t xml:space="preserve">~95,000–105,000 years ago</w:t>
            </w:r>
          </w:p>
        </w:tc>
        <w:tc>
          <w:tcPr>
            <w:tcW w:w="2340" w:type="dxa"/>
          </w:tcPr>
          <w:p>
            <w:pPr/>
            <w:r>
              <w:t xml:space="preserve">Long global field low, ~125,000–95,000</w:t>
            </w:r>
          </w:p>
        </w:tc>
        <w:tc>
          <w:tcPr>
            <w:tcW w:w="2340" w:type="dxa"/>
          </w:tcPr>
          <w:p>
            <w:pPr/>
            <w:r>
              <w:t xml:space="preserve">Continued slide into glacial cold</w:t>
            </w:r>
          </w:p>
        </w:tc>
      </w:tr>
      <w:tr>
        <w:tc>
          <w:tcPr>
            <w:tcW w:w="2340" w:type="dxa"/>
          </w:tcPr>
          <w:p>
            <w:pPr/>
            <w:r>
              <w:t xml:space="preserve">Norwegian–Greenland Sea</w:t>
            </w:r>
          </w:p>
        </w:tc>
        <w:tc>
          <w:tcPr>
            <w:tcW w:w="2340" w:type="dxa"/>
          </w:tcPr>
          <w:p>
            <w:pPr/>
            <w:r>
              <w:t xml:space="preserve">~64,500 years ago</w:t>
            </w:r>
          </w:p>
        </w:tc>
        <w:tc>
          <w:tcPr>
            <w:tcW w:w="2340" w:type="dxa"/>
          </w:tcPr>
          <w:p>
            <w:pPr/>
            <w:r>
              <w:t xml:space="preserve">Excursion</w:t>
            </w:r>
          </w:p>
        </w:tc>
        <w:tc>
          <w:tcPr>
            <w:tcW w:w="2340" w:type="dxa"/>
          </w:tcPr>
          <w:p>
            <w:pPr/>
            <w:r>
              <w:t xml:space="preserve">Deep in the cold stage that followed the Toba supereruption</w:t>
            </w:r>
          </w:p>
        </w:tc>
      </w:tr>
      <w:tr>
        <w:tc>
          <w:tcPr>
            <w:tcW w:w="2340" w:type="dxa"/>
          </w:tcPr>
          <w:p>
            <w:pPr/>
            <w:r>
              <w:rPr>
                <w:b/>
              </w:rPr>
              <w:t xml:space="preserve">Laschamps</w:t>
            </w:r>
          </w:p>
        </w:tc>
        <w:tc>
          <w:tcPr>
            <w:tcW w:w="2340" w:type="dxa"/>
          </w:tcPr>
          <w:p>
            <w:pPr/>
            <w:r>
              <w:rPr>
                <w:b/>
              </w:rPr>
              <w:t xml:space="preserve">~40,300–42,200 years ago</w:t>
            </w:r>
          </w:p>
        </w:tc>
        <w:tc>
          <w:tcPr>
            <w:tcW w:w="2340" w:type="dxa"/>
          </w:tcPr>
          <w:p>
            <w:pPr/>
            <w:r>
              <w:rPr>
                <w:b/>
              </w:rPr>
              <w:t xml:space="preserve">Field ~10% of today; beryllium-10 doubled; radiocarbon +1,215 per mil</w:t>
            </w:r>
          </w:p>
        </w:tc>
        <w:tc>
          <w:tcPr>
            <w:tcW w:w="2340" w:type="dxa"/>
          </w:tcPr>
          <w:p>
            <w:pPr/>
            <w:r>
              <w:rPr>
                <w:b/>
              </w:rPr>
              <w:t xml:space="preserve">Auroras over Europe and North Africa; Campanian super-eruption; Heinrich event 4; Neanderthal culture ends across Europe</w:t>
            </w:r>
          </w:p>
        </w:tc>
      </w:tr>
      <w:tr>
        <w:tc>
          <w:tcPr>
            <w:tcW w:w="2340" w:type="dxa"/>
          </w:tcPr>
          <w:p>
            <w:pPr/>
            <w:r>
              <w:t xml:space="preserve">Mono Lake</w:t>
            </w:r>
          </w:p>
        </w:tc>
        <w:tc>
          <w:tcPr>
            <w:tcW w:w="2340" w:type="dxa"/>
          </w:tcPr>
          <w:p>
            <w:pPr/>
            <w:r>
              <w:t xml:space="preserve">~33,500–34,500 years ago</w:t>
            </w:r>
          </w:p>
        </w:tc>
        <w:tc>
          <w:tcPr>
            <w:tcW w:w="2340" w:type="dxa"/>
          </w:tcPr>
          <w:p>
            <w:pPr/>
            <w:r>
              <w:t xml:space="preserve">Radiocarbon +550 per mil</w:t>
            </w:r>
          </w:p>
        </w:tc>
        <w:tc>
          <w:tcPr>
            <w:tcW w:w="2340" w:type="dxa"/>
          </w:tcPr>
          <w:p>
            <w:pPr/>
            <w:r>
              <w:t xml:space="preserve">Smaller field dip, smaller radiation surge</w:t>
            </w:r>
          </w:p>
        </w:tc>
      </w:tr>
      <w:tr>
        <w:tc>
          <w:tcPr>
            <w:tcW w:w="2340" w:type="dxa"/>
          </w:tcPr>
          <w:p>
            <w:pPr/>
            <w:r>
              <w:t xml:space="preserve">Rockall</w:t>
            </w:r>
          </w:p>
        </w:tc>
        <w:tc>
          <w:tcPr>
            <w:tcW w:w="2340" w:type="dxa"/>
          </w:tcPr>
          <w:p>
            <w:pPr/>
            <w:r>
              <w:t xml:space="preserve">~26,000 years ago</w:t>
            </w:r>
          </w:p>
        </w:tc>
        <w:tc>
          <w:tcPr>
            <w:tcW w:w="2340" w:type="dxa"/>
          </w:tcPr>
          <w:p>
            <w:pPr/>
            <w:r>
              <w:t xml:space="preserve">Excursion (debated)</w:t>
            </w:r>
          </w:p>
        </w:tc>
        <w:tc>
          <w:tcPr>
            <w:tcW w:w="2340" w:type="dxa"/>
          </w:tcPr>
          <w:p>
            <w:pPr/>
            <w:r>
              <w:t xml:space="preserve">Oruanui supereruption in New Zealand; onset of the Last Glacial Maximum</w:t>
            </w:r>
          </w:p>
        </w:tc>
      </w:tr>
      <w:tr>
        <w:tc>
          <w:tcPr>
            <w:tcW w:w="2340" w:type="dxa"/>
          </w:tcPr>
          <w:p>
            <w:pPr/>
            <w:r>
              <w:t xml:space="preserve">Hilina Pali</w:t>
            </w:r>
          </w:p>
        </w:tc>
        <w:tc>
          <w:tcPr>
            <w:tcW w:w="2340" w:type="dxa"/>
          </w:tcPr>
          <w:p>
            <w:pPr/>
            <w:r>
              <w:t xml:space="preserve">~17,000–18,500 years ago</w:t>
            </w:r>
          </w:p>
        </w:tc>
        <w:tc>
          <w:tcPr>
            <w:tcW w:w="2340" w:type="dxa"/>
          </w:tcPr>
          <w:p>
            <w:pPr/>
            <w:r>
              <w:t xml:space="preserve">Excursion (debated)</w:t>
            </w:r>
          </w:p>
        </w:tc>
        <w:tc>
          <w:tcPr>
            <w:tcW w:w="2340" w:type="dxa"/>
          </w:tcPr>
          <w:p>
            <w:pPr/>
            <w:r>
              <w:t xml:space="preserve">Heinrich event 1 follows</w:t>
            </w:r>
          </w:p>
        </w:tc>
      </w:tr>
      <w:tr>
        <w:tc>
          <w:tcPr>
            <w:tcW w:w="2340" w:type="dxa"/>
          </w:tcPr>
          <w:p>
            <w:pPr/>
            <w:r>
              <w:t xml:space="preserve">First-millennium weak spot</w:t>
            </w:r>
          </w:p>
        </w:tc>
        <w:tc>
          <w:tcPr>
            <w:tcW w:w="2340" w:type="dxa"/>
          </w:tcPr>
          <w:p>
            <w:pPr/>
            <w:r>
              <w:t xml:space="preserve">1–850 CE</w:t>
            </w:r>
          </w:p>
        </w:tc>
        <w:tc>
          <w:tcPr>
            <w:tcW w:w="2340" w:type="dxa"/>
          </w:tcPr>
          <w:p>
            <w:pPr/>
            <w:r>
              <w:t xml:space="preserve">Regional anomaly</w:t>
            </w:r>
          </w:p>
        </w:tc>
        <w:tc>
          <w:tcPr>
            <w:tcW w:w="2340" w:type="dxa"/>
          </w:tcPr>
          <w:p>
            <w:pPr/>
            <w:r>
              <w:t xml:space="preserve">Late Antique Little Ice Age (536–660 CE); Justinian plague</w:t>
            </w:r>
          </w:p>
        </w:tc>
      </w:tr>
    </w:tbl>
    <w:p>
      <w:pPr>
        <w:pStyle w:val="Heading3"/>
      </w:pPr>
      <w:r>
        <w:t xml:space="preserve">Laschamps: the shield down, and everything at once</w:t>
      </w:r>
    </w:p>
    <w:p>
      <w:pPr/>
      <w:r>
        <w:t xml:space="preserve">Laschamps is the clearest case because it is the deepest collapse and the best dated. Over roughly 2,000 years the field weakened, tilted, and for about 300 years flipped direction before recovering. Inside that window:</w:t>
      </w:r>
    </w:p>
    <w:p>
      <w:pPr>
        <w:pStyle w:val="ListParagraph"/>
        <w:numPr>
          <w:ilvl w:val="0"/>
          <w:numId w:val="5"/>
        </w:numPr>
      </w:pPr>
      <w:r>
        <w:rPr>
          <w:b/>
        </w:rPr>
        <w:t xml:space="preserve">The shield failed measurably.</w:t>
      </w:r>
      <w:r>
        <w:t xml:space="preserve"> Beryllium-10 production doubled (</w:t>
      </w:r>
      <w:hyperlink r:id="rId4" w:history="1">
        <w:r>
          <w:rPr>
            <w:rStyle w:val="Hyperlink"/>
          </w:rPr>
          <w:t xml:space="preserve">Panovska, EGU 2024</w:t>
        </w:r>
      </w:hyperlink>
      <w:r>
        <w:t xml:space="preserve">) and ocean radiocarbon surged to +1,215 per mil (</w:t>
      </w:r>
      <w:hyperlink r:id="rId5" w:history="1">
        <w:r>
          <w:rPr>
            <w:rStyle w:val="Hyperlink"/>
          </w:rPr>
          <w:t xml:space="preserve">Radiocarbon, 2000</w:t>
        </w:r>
      </w:hyperlink>
      <w:r>
        <w:t xml:space="preserve">).</w:t>
      </w:r>
    </w:p>
    <w:p>
      <w:pPr>
        <w:pStyle w:val="ListParagraph"/>
        <w:numPr>
          <w:ilvl w:val="0"/>
          <w:numId w:val="5"/>
        </w:numPr>
      </w:pPr>
      <w:r>
        <w:rPr>
          <w:b/>
        </w:rPr>
        <w:t xml:space="preserve">The radiation reached low latitudes.</w:t>
      </w:r>
      <w:r>
        <w:t xml:space="preserve"> The auroral zone and exposure to solar and cosmic radiation spread over Europe and northern Africa (</w:t>
      </w:r>
      <w:hyperlink r:id="rId3" w:history="1">
        <w:r>
          <w:rPr>
            <w:rStyle w:val="Hyperlink"/>
          </w:rPr>
          <w:t xml:space="preserve">Mukhopadhyay et al., 2025</w:t>
        </w:r>
      </w:hyperlink>
      <w:r>
        <w:t xml:space="preserve">). That same study links the event to a rise in cave habitation and possible use of tailored clothing for protection among early modern humans.</w:t>
      </w:r>
    </w:p>
    <w:p>
      <w:pPr>
        <w:pStyle w:val="ListParagraph"/>
        <w:numPr>
          <w:ilvl w:val="0"/>
          <w:numId w:val="5"/>
        </w:numPr>
      </w:pPr>
      <w:r>
        <w:rPr>
          <w:b/>
        </w:rPr>
        <w:t xml:space="preserve">The atmosphere shifted.</w:t>
      </w:r>
      <w:r>
        <w:t xml:space="preserve"> Cooper and colleagues dated the event with New Zealand kauri tree rings and modeled the field minimum driving ozone loss and synchronous climate and environmental change worldwide (</w:t>
      </w:r>
      <w:hyperlink r:id="rId14" w:history="1">
        <w:r>
          <w:rPr>
            <w:rStyle w:val="Hyperlink"/>
          </w:rPr>
          <w:t xml:space="preserve">Cooper et al., 2021</w:t>
        </w:r>
      </w:hyperlink>
      <w:r>
        <w:t xml:space="preserve">).</w:t>
      </w:r>
    </w:p>
    <w:p>
      <w:pPr>
        <w:pStyle w:val="ListParagraph"/>
        <w:numPr>
          <w:ilvl w:val="0"/>
          <w:numId w:val="5"/>
        </w:numPr>
      </w:pPr>
      <w:r>
        <w:rPr>
          <w:b/>
        </w:rPr>
        <w:t xml:space="preserve">The largest eruption in Mediterranean history fired.</w:t>
      </w:r>
      <w:r>
        <w:t xml:space="preserve"> The Campanian Ignimbrite in southern Italy, 39,850 ± 140 years ago, at the onset of Heinrich event 4 (</w:t>
      </w:r>
      <w:hyperlink r:id="rId15" w:history="1">
        <w:r>
          <w:rPr>
            <w:rStyle w:val="Hyperlink"/>
          </w:rPr>
          <w:t xml:space="preserve">Giaccio et al., 2017</w:t>
        </w:r>
      </w:hyperlink>
      <w:r>
        <w:t xml:space="preserve">).</w:t>
      </w:r>
    </w:p>
    <w:p>
      <w:pPr>
        <w:pStyle w:val="ListParagraph"/>
        <w:numPr>
          <w:ilvl w:val="0"/>
          <w:numId w:val="5"/>
        </w:numPr>
      </w:pPr>
      <w:r>
        <w:rPr>
          <w:b/>
        </w:rPr>
        <w:t xml:space="preserve">The climate lurched.</w:t>
      </w:r>
      <w:r>
        <w:t xml:space="preserve"> Heinrich event 4, one of the most severe iceberg-discharge cold events, ~37,500–39,900 years ago (</w:t>
      </w:r>
      <w:hyperlink r:id="rId16" w:history="1">
        <w:r>
          <w:rPr>
            <w:rStyle w:val="Hyperlink"/>
          </w:rPr>
          <w:t xml:space="preserve">Bukar et al.</w:t>
        </w:r>
      </w:hyperlink>
      <w:r>
        <w:t xml:space="preserve">).</w:t>
      </w:r>
    </w:p>
    <w:p>
      <w:pPr>
        <w:pStyle w:val="ListParagraph"/>
        <w:numPr>
          <w:ilvl w:val="0"/>
          <w:numId w:val="5"/>
        </w:numPr>
      </w:pPr>
      <w:r>
        <w:rPr>
          <w:b/>
        </w:rPr>
        <w:t xml:space="preserve">The Neanderthals disappeared.</w:t>
      </w:r>
      <w:r>
        <w:t xml:space="preserve"> Their Mousterian culture ended across Europe between 41,030 and 39,260 years ago (</w:t>
      </w:r>
      <w:hyperlink r:id="rId17" w:history="1">
        <w:r>
          <w:rPr>
            <w:rStyle w:val="Hyperlink"/>
          </w:rPr>
          <w:t xml:space="preserve">Higham et al., 2014</w:t>
        </w:r>
      </w:hyperlink>
      <w:r>
        <w:t xml:space="preserve">).</w:t>
      </w:r>
    </w:p>
    <w:p>
      <w:pPr/>
      <w:r>
        <w:t xml:space="preserve">A species that had survived in Europe for hundreds of thousands of years vanished in the same window in which the shield collapsed, radiation reached the mid-latitudes, ozone thinned, the climate broke and a super-eruption hit. That convergence is what the recurrence papers leave out.</w:t>
      </w:r>
    </w:p>
    <w:p>
      <w:pPr>
        <w:pStyle w:val="Heading3"/>
      </w:pPr>
      <w:r>
        <w:t xml:space="preserve">Blake: cooling at the moment of the field low</w:t>
      </w:r>
    </w:p>
    <w:p>
      <w:pPr/>
      <w:r>
        <w:t xml:space="preserve">The Blake record comes from a stalagmite in Cobre cave, northern Spain, dated by uranium–thorium rather than by matching it to climate curves. When field strength hit a sharp low between ~114,500 and ~113,000 years ago, every climate proxy in the stone recorded a significant cooling. Shortly after, the formation stopped growing for about 11,000 years as glaciation set in (</w:t>
      </w:r>
      <w:hyperlink r:id="rId18" w:history="1">
        <w:r>
          <w:rPr>
            <w:rStyle w:val="Hyperlink"/>
          </w:rPr>
          <w:t xml:space="preserve">Cobre cave study, 2014</w:t>
        </w:r>
      </w:hyperlink>
      <w:r>
        <w:t xml:space="preserve">). In Germany, Blake falls in the early last interglacial and lasted about 3,400 years (</w:t>
      </w:r>
      <w:hyperlink r:id="rId19" w:history="1">
        <w:r>
          <w:rPr>
            <w:rStyle w:val="Hyperlink"/>
          </w:rPr>
          <w:t xml:space="preserve">Sier et al., 2011</w:t>
        </w:r>
      </w:hyperlink>
      <w:r>
        <w:t xml:space="preserve">).</w:t>
      </w:r>
    </w:p>
    <w:p>
      <w:pPr>
        <w:pStyle w:val="Heading3"/>
      </w:pPr>
      <w:r>
        <w:t xml:space="preserve">Mono Lake: the dose scales with the dip</w:t>
      </w:r>
    </w:p>
    <w:p>
      <w:pPr/>
      <w:r>
        <w:t xml:space="preserve">Mono Lake was a shallower dip than Laschamps, and its radiocarbon surge was about half as large, +550 per mil against +1,215 (</w:t>
      </w:r>
      <w:hyperlink r:id="rId5" w:history="1">
        <w:r>
          <w:rPr>
            <w:rStyle w:val="Hyperlink"/>
          </w:rPr>
          <w:t xml:space="preserve">Radiocarbon, 2000</w:t>
        </w:r>
      </w:hyperlink>
      <w:r>
        <w:t xml:space="preserve">). The weaker the shield, the more gets through. The record shows that proportion directly.</w:t>
      </w:r>
    </w:p>
    <w:p>
      <w:pPr>
        <w:pStyle w:val="Heading3"/>
      </w:pPr>
      <w:r>
        <w:t xml:space="preserve">Rockall and Hilina Pali</w:t>
      </w:r>
    </w:p>
    <w:p>
      <w:pPr/>
      <w:r>
        <w:t xml:space="preserve">If Rockall was a real global event, its window holds the Oruanui supereruption at Taupo, New Zealand, 25,360 ± 160 years ago (</w:t>
      </w:r>
      <w:hyperlink r:id="rId20" w:history="1">
        <w:r>
          <w:rPr>
            <w:rStyle w:val="Hyperlink"/>
          </w:rPr>
          <w:t xml:space="preserve">Vandergoes et al., 2013</w:t>
        </w:r>
      </w:hyperlink>
      <w:r>
        <w:t xml:space="preserve">), confirmed in Antarctic ice at 25,580 ± 258 (</w:t>
      </w:r>
      <w:hyperlink r:id="rId21" w:history="1">
        <w:r>
          <w:rPr>
            <w:rStyle w:val="Hyperlink"/>
          </w:rPr>
          <w:t xml:space="preserve">Dunbar et al., 2017</w:t>
        </w:r>
      </w:hyperlink>
      <w:r>
        <w:t xml:space="preserve">), early in the Last Glacial Maximum. Heinrich event 1 follows the Hilina Pali window. Both excursions are debated (see the last section).</w:t>
      </w:r>
    </w:p>
    <w:p>
      <w:pPr>
        <w:pStyle w:val="Heading3"/>
      </w:pPr>
      <w:r>
        <w:t xml:space="preserve">The first-millennium weak spot</w:t>
      </w:r>
    </w:p>
    <w:p>
      <w:pPr/>
      <w:r>
        <w:t xml:space="preserve">The 2026 recurrence paper itself identifies a weak spot from 1 to 850 CE. Inside it sits the Late Antique Little Ice Age, 536 to about 660 CE: an unprecedented cooling across the Northern Hemisphere after eruptions in 536, 540 and 547 CE, sustained by ocean and sea-ice feedback and a solar minimum, with the Justinian plague sweeping the Mediterranean in 541–543 (</w:t>
      </w:r>
      <w:hyperlink r:id="rId22" w:history="1">
        <w:r>
          <w:rPr>
            <w:rStyle w:val="Hyperlink"/>
          </w:rPr>
          <w:t xml:space="preserve">Büntgen et al., 2016</w:t>
        </w:r>
      </w:hyperlink>
      <w:r>
        <w:t xml:space="preserve">). The recurrence paper maps the weak spot and is silent on what happened beneath it.</w:t>
      </w:r>
    </w:p>
    <w:p>
      <w:pPr>
        <w:pStyle w:val="Heading2"/>
      </w:pPr>
      <w:r>
        <w:t xml:space="preserve">Now: an open window over the South Atlantic</w:t>
      </w:r>
    </w:p>
    <w:p>
      <w:pPr/>
      <w:r>
        <w:t xml:space="preserve">The concern here is not a pole reversal. It is a weakened field caused by the geometry and position of the dipole itself. The author's own simulation shows that the dipole in its present position alone leaves exposed field over the South Atlantic region, before any surface complexity is added (simulation DOI to be added).</w:t>
      </w:r>
    </w:p>
    <w:p>
      <w:pPr/>
      <w:r>
        <w:t xml:space="preserve">The satellite record shows that region getting worse, not better:</w:t>
      </w:r>
    </w:p>
    <w:p>
      <w:pPr>
        <w:pStyle w:val="ListParagraph"/>
        <w:numPr>
          <w:ilvl w:val="0"/>
          <w:numId w:val="6"/>
        </w:numPr>
      </w:pPr>
      <w:r>
        <w:t xml:space="preserve">The South Atlantic Anomaly grew by roughly half the area of continental Europe between 2014 and 2025 (</w:t>
      </w:r>
      <w:hyperlink r:id="rId23" w:history="1">
        <w:r>
          <w:rPr>
            <w:rStyle w:val="Hyperlink"/>
          </w:rPr>
          <w:t xml:space="preserve">Finlay et al., 2025</w:t>
        </w:r>
      </w:hyperlink>
      <w:r>
        <w:t xml:space="preserve">).</w:t>
      </w:r>
    </w:p>
    <w:p>
      <w:pPr>
        <w:pStyle w:val="ListParagraph"/>
        <w:numPr>
          <w:ilvl w:val="0"/>
          <w:numId w:val="6"/>
        </w:numPr>
      </w:pPr>
      <w:r>
        <w:t xml:space="preserve">The part southwest of Africa has been weakening faster since 2020, and the anomaly is splitting into separate lobes (same source).</w:t>
      </w:r>
    </w:p>
    <w:p>
      <w:pPr>
        <w:pStyle w:val="ListParagraph"/>
        <w:numPr>
          <w:ilvl w:val="0"/>
          <w:numId w:val="6"/>
        </w:numPr>
      </w:pPr>
      <w:r>
        <w:t xml:space="preserve">The global field is roughly 9% weaker than in the 1840s (approximate).</w:t>
      </w:r>
    </w:p>
    <w:p>
      <w:pPr/>
      <w:r>
        <w:t xml:space="preserve">The anomaly sits over the South Atlantic Ocean, which is phytoplankton habitat. The chain described above doesn't need a global excursion to start working. It needs a weak shield over living ocean when the Sun throws an extreme particle event, which it does without warning. The 2024 PNAS study is explicit that the effects of an extreme solar particle event depend on field strength (</w:t>
      </w:r>
      <w:hyperlink r:id="rId6" w:history="1">
        <w:r>
          <w:rPr>
            <w:rStyle w:val="Hyperlink"/>
          </w:rPr>
          <w:t xml:space="preserve">Arsenović et al., 2024</w:t>
        </w:r>
      </w:hyperlink>
      <w:r>
        <w:t xml:space="preserve">), and a newer study by the same group is now testing it under a realistic, uneven field geometry rather than an idealized no-field case (</w:t>
      </w:r>
      <w:hyperlink r:id="rId24" w:history="1">
        <w:r>
          <w:rPr>
            <w:rStyle w:val="Hyperlink"/>
          </w:rPr>
          <w:t xml:space="preserve">Arsenović, 2026 conference abstract</w:t>
        </w:r>
      </w:hyperlink>
      <w:r>
        <w:t xml:space="preserve">).</w:t>
      </w:r>
    </w:p>
    <w:p>
      <w:pPr/>
      <w:r>
        <w:t xml:space="preserve">Today's field is still far stronger than it was at Laschamps. The point is not that we are at Laschamps. The point is that the papers telling us the weak spot is a normal, recurring feature never mention what that feature does to what lives beneath it.</w:t>
      </w:r>
    </w:p>
    <w:p>
      <w:pPr>
        <w:pStyle w:val="Heading2"/>
      </w:pPr>
      <w:r>
        <w:t xml:space="preserve">What remains open</w:t>
      </w:r>
    </w:p>
    <w:p>
      <w:pPr/>
      <w:r>
        <w:t xml:space="preserve">The radiation chain above is physics, and it stands on its own. Three things are less settled, and they are stated here once so a reader can weigh them rather than be ambushed by them.</w:t>
      </w:r>
    </w:p>
    <w:p>
      <w:pPr>
        <w:pStyle w:val="ListParagraph"/>
        <w:numPr>
          <w:ilvl w:val="0"/>
          <w:numId w:val="7"/>
        </w:numPr>
      </w:pPr>
      <w:r>
        <w:rPr>
          <w:b/>
        </w:rPr>
        <w:t xml:space="preserve">Volcanism.</w:t>
      </w:r>
      <w:r>
        <w:t xml:space="preserve"> UV and particles don't trigger eruptions. The Campanian and Oruanui supereruptions land in weakened-field windows, but no established mechanism links the field to volcanism. Either it is coincidence, or it runs through a pathway not yet identified. It is reported here because it is in the record, not because the solar chain explains it.</w:t>
      </w:r>
    </w:p>
    <w:p>
      <w:pPr>
        <w:pStyle w:val="ListParagraph"/>
        <w:numPr>
          <w:ilvl w:val="0"/>
          <w:numId w:val="7"/>
        </w:numPr>
      </w:pPr>
      <w:r>
        <w:rPr>
          <w:b/>
        </w:rPr>
        <w:t xml:space="preserve">Debated excursions.</w:t>
      </w:r>
      <w:r>
        <w:t xml:space="preserve"> Southern Ocean cores show no trace of Rockall, Hilina Pali or Tianshui (</w:t>
      </w:r>
      <w:hyperlink r:id="rId25" w:history="1">
        <w:r>
          <w:rPr>
            <w:rStyle w:val="Hyperlink"/>
          </w:rPr>
          <w:t xml:space="preserve">Nowaczyk et al., 2025</w:t>
        </w:r>
      </w:hyperlink>
      <w:r>
        <w:t xml:space="preserve">). The case rests on Blake, Laschamps and Mono Lake, which are not in dispute.</w:t>
      </w:r>
    </w:p>
    <w:p>
      <w:pPr>
        <w:pStyle w:val="ListParagraph"/>
        <w:numPr>
          <w:ilvl w:val="0"/>
          <w:numId w:val="7"/>
        </w:numPr>
      </w:pPr>
      <w:r>
        <w:rPr>
          <w:b/>
        </w:rPr>
        <w:t xml:space="preserve">How tightly events are dated to the field.</w:t>
      </w:r>
      <w:r>
        <w:t xml:space="preserve"> Some sediment excursion ages are fixed by matching cores to ice-core climate records (</w:t>
      </w:r>
      <w:hyperlink r:id="rId26" w:history="1">
        <w:r>
          <w:rPr>
            <w:rStyle w:val="Hyperlink"/>
          </w:rPr>
          <w:t xml:space="preserve">Liu et al., 2020</w:t>
        </w:r>
      </w:hyperlink>
      <w:r>
        <w:t xml:space="preserve">), and researchers have asked whether climate can leak into paleointensity records (</w:t>
      </w:r>
      <w:hyperlink r:id="rId27" w:history="1">
        <w:r>
          <w:rPr>
            <w:rStyle w:val="Hyperlink"/>
          </w:rPr>
          <w:t xml:space="preserve">Channell et al., 2008</w:t>
        </w:r>
      </w:hyperlink>
      <w:r>
        <w:t xml:space="preserve">). The strongest evidence here avoids that problem: the cosmogenic isotope spikes, the argon-dated eruption and the uranium–thorium-dated Blake cooling.</w:t>
      </w:r>
    </w:p>
    <w:p>
      <w:pPr/>
      <w:r>
        <w:t xml:space="preserve">The spacing of recent excursions, about 8,000 years, also echoes the 7,000–9,000-year rhythm of Heinrich climate events (</w:t>
      </w:r>
      <w:hyperlink r:id="rId28" w:history="1">
        <w:r>
          <w:rPr>
            <w:rStyle w:val="Hyperlink"/>
          </w:rPr>
          <w:t xml:space="preserve">Britannica</w:t>
        </w:r>
      </w:hyperlink>
      <w:r>
        <w:t xml:space="preserve">). Some researchers already propose that field lows come just before abrupt climate events (</w:t>
      </w:r>
      <w:hyperlink r:id="rId29" w:history="1">
        <w:r>
          <w:rPr>
            <w:rStyle w:val="Hyperlink"/>
          </w:rPr>
          <w:t xml:space="preserve">Yang et al., 2004</w:t>
        </w:r>
      </w:hyperlink>
      <w:r>
        <w:t xml:space="preserve">). Testing that against independently dated records alone is the next step.</w:t>
      </w:r>
    </w:p>
    <w:p>
      <w:pPr/>
      <w:r>
        <w:t xml:space="preserve">None of these open questions touches the core finding. When the shield weakens, more of the Sun's particles get in, the ozone thins, UV-B rises, and the organisms that make half of Earth's oxygen take the hit. The recurrence papers document the weakening. They leave out everything that follows.</w:t>
      </w:r>
    </w:p>
    <w:p>
      <w:pPr>
        <w:pStyle w:val="Heading2"/>
      </w:pPr>
      <w:r>
        <w:t xml:space="preserve">References</w:t>
      </w:r>
    </w:p>
    <w:p>
      <w:pPr/>
      <w:r>
        <w:rPr>
          <w:b/>
        </w:rPr>
        <w:t xml:space="preserve">Excursions and the field</w:t>
      </w:r>
    </w:p>
    <w:p>
      <w:pPr>
        <w:pStyle w:val="ListParagraph"/>
        <w:numPr>
          <w:ilvl w:val="0"/>
          <w:numId w:val="8"/>
        </w:numPr>
      </w:pPr>
      <w:r>
        <w:t xml:space="preserve">Sier, M. J., Roebroeks, W., et al. (2011). Direct terrestrial–marine correlation demonstrates surprisingly late onset of the last interglacial in central Europe. </w:t>
      </w:r>
      <w:r>
        <w:rPr>
          <w:i/>
        </w:rPr>
        <w:t xml:space="preserve">Quaternary Research</w:t>
      </w:r>
      <w:r>
        <w:t xml:space="preserve">, 75, 213–218. </w:t>
      </w:r>
      <w:hyperlink r:id="rId19" w:history="1">
        <w:r>
          <w:rPr>
            <w:rStyle w:val="Hyperlink"/>
          </w:rPr>
          <w:t xml:space="preserve">doi:10.1016/j.yqres.2010.11.003</w:t>
        </w:r>
      </w:hyperlink>
    </w:p>
    <w:p>
      <w:pPr>
        <w:pStyle w:val="ListParagraph"/>
        <w:numPr>
          <w:ilvl w:val="0"/>
          <w:numId w:val="8"/>
        </w:numPr>
      </w:pPr>
      <w:r>
        <w:t xml:space="preserve">Evidence for the Blake Event recorded at the Eemian archaeological site of Caours, France. </w:t>
      </w:r>
      <w:hyperlink r:id="rId30" w:history="1">
        <w:r>
          <w:rPr>
            <w:rStyle w:val="Hyperlink"/>
          </w:rPr>
          <w:t xml:space="preserve">Record</w:t>
        </w:r>
      </w:hyperlink>
      <w:r>
        <w:t xml:space="preserve"> (DOI not retrieved).</w:t>
      </w:r>
    </w:p>
    <w:p>
      <w:pPr>
        <w:pStyle w:val="ListParagraph"/>
        <w:numPr>
          <w:ilvl w:val="0"/>
          <w:numId w:val="8"/>
        </w:numPr>
      </w:pPr>
      <w:r>
        <w:t xml:space="preserve">Paleoclimate variability during the Blake geomagnetic excursion (MIS 5d) deduced from a speleothem record (2014). Elsevier. </w:t>
      </w:r>
      <w:hyperlink r:id="rId18" w:history="1">
        <w:r>
          <w:rPr>
            <w:rStyle w:val="Hyperlink"/>
          </w:rPr>
          <w:t xml:space="preserve">Record</w:t>
        </w:r>
      </w:hyperlink>
      <w:r>
        <w:t xml:space="preserve"> (DOI not retrieved).</w:t>
      </w:r>
    </w:p>
    <w:p>
      <w:pPr>
        <w:pStyle w:val="ListParagraph"/>
        <w:numPr>
          <w:ilvl w:val="0"/>
          <w:numId w:val="8"/>
        </w:numPr>
      </w:pPr>
      <w:r>
        <w:t xml:space="preserve">Refining the Quaternary Geomagnetic Instability Time Scale (GITS): lava flow recordings of the Blake and Post-Blake excursions. </w:t>
      </w:r>
      <w:hyperlink r:id="rId31" w:history="1">
        <w:r>
          <w:rPr>
            <w:rStyle w:val="Hyperlink"/>
          </w:rPr>
          <w:t xml:space="preserve">HAL record hal-01054336</w:t>
        </w:r>
      </w:hyperlink>
      <w:r>
        <w:t xml:space="preserve">.</w:t>
      </w:r>
    </w:p>
    <w:p>
      <w:pPr>
        <w:pStyle w:val="ListParagraph"/>
        <w:numPr>
          <w:ilvl w:val="0"/>
          <w:numId w:val="8"/>
        </w:numPr>
      </w:pPr>
      <w:r>
        <w:t xml:space="preserve">Liu, J., Nowaczyk, N. R., Panovska, S., Korte, M., &amp; Arz, H. W. (2020). The Norwegian–Greenland Sea, the Laschamps, and the Mono Lake excursions recorded in a Black Sea sedimentary sequence spanning from 68.9 to 14.5 ka. </w:t>
      </w:r>
      <w:r>
        <w:rPr>
          <w:i/>
        </w:rPr>
        <w:t xml:space="preserve">JGR: Solid Earth</w:t>
      </w:r>
      <w:r>
        <w:t xml:space="preserve">, 125(8). </w:t>
      </w:r>
      <w:hyperlink r:id="rId26" w:history="1">
        <w:r>
          <w:rPr>
            <w:rStyle w:val="Hyperlink"/>
          </w:rPr>
          <w:t xml:space="preserve">doi:10.1029/2019JB019225</w:t>
        </w:r>
      </w:hyperlink>
    </w:p>
    <w:p>
      <w:pPr>
        <w:pStyle w:val="ListParagraph"/>
        <w:numPr>
          <w:ilvl w:val="0"/>
          <w:numId w:val="8"/>
        </w:numPr>
      </w:pPr>
      <w:r>
        <w:t xml:space="preserve">Nowaczyk, N. R., et al. (2025). The Mono Lake and Laschamps geomagnetic excursions recorded by sediments in the Drake Passage. </w:t>
      </w:r>
      <w:r>
        <w:rPr>
          <w:i/>
        </w:rPr>
        <w:t xml:space="preserve">JGR: Solid Earth</w:t>
      </w:r>
      <w:r>
        <w:t xml:space="preserve">. </w:t>
      </w:r>
      <w:hyperlink r:id="rId25" w:history="1">
        <w:r>
          <w:rPr>
            <w:rStyle w:val="Hyperlink"/>
          </w:rPr>
          <w:t xml:space="preserve">doi:10.1029/2024JB029835</w:t>
        </w:r>
      </w:hyperlink>
    </w:p>
    <w:p>
      <w:pPr>
        <w:pStyle w:val="ListParagraph"/>
        <w:numPr>
          <w:ilvl w:val="0"/>
          <w:numId w:val="8"/>
        </w:numPr>
      </w:pPr>
      <w:r>
        <w:t xml:space="preserve">Mukhopadhyay, A., Panovska, S., Garvey, R., et al. (2025). Wandering of the auroral oval 41,000 years ago. </w:t>
      </w:r>
      <w:r>
        <w:rPr>
          <w:i/>
        </w:rPr>
        <w:t xml:space="preserve">Science Advances</w:t>
      </w:r>
      <w:r>
        <w:t xml:space="preserve">, 11(16), eadq7275. </w:t>
      </w:r>
      <w:hyperlink r:id="rId3" w:history="1">
        <w:r>
          <w:rPr>
            <w:rStyle w:val="Hyperlink"/>
          </w:rPr>
          <w:t xml:space="preserve">doi:10.1126/sciadv.adq7275</w:t>
        </w:r>
      </w:hyperlink>
    </w:p>
    <w:p>
      <w:pPr>
        <w:pStyle w:val="ListParagraph"/>
        <w:numPr>
          <w:ilvl w:val="0"/>
          <w:numId w:val="8"/>
        </w:numPr>
      </w:pPr>
      <w:r>
        <w:t xml:space="preserve">Radiocarbon production during the Mono Lake and Laschamp excursions, 27–54 ka cal BP. </w:t>
      </w:r>
      <w:r>
        <w:rPr>
          <w:i/>
        </w:rPr>
        <w:t xml:space="preserve">Radiocarbon</w:t>
      </w:r>
      <w:r>
        <w:t xml:space="preserve">, 42(3) (2000). </w:t>
      </w:r>
      <w:hyperlink r:id="rId5" w:history="1">
        <w:r>
          <w:rPr>
            <w:rStyle w:val="Hyperlink"/>
          </w:rPr>
          <w:t xml:space="preserve">Record</w:t>
        </w:r>
      </w:hyperlink>
      <w:r>
        <w:t xml:space="preserve"> (DOI not retrieved).</w:t>
      </w:r>
    </w:p>
    <w:p>
      <w:pPr/>
      <w:r>
        <w:rPr>
          <w:b/>
        </w:rPr>
        <w:t xml:space="preserve">Volcanism</w:t>
      </w:r>
    </w:p>
    <w:p>
      <w:pPr>
        <w:pStyle w:val="ListParagraph"/>
        <w:numPr>
          <w:ilvl w:val="0"/>
          <w:numId w:val="9"/>
        </w:numPr>
      </w:pPr>
      <w:r>
        <w:t xml:space="preserve">Giaccio, B., Hajdas, I., Isaia, R., Deino, A., &amp; Nomade, S. (2017). High-precision ¹⁴C and ⁴⁰Ar/³⁹Ar dating of the Campanian Ignimbrite (Y-5) reconciles the time-scales of climatic-cultural processes at 40 ka. </w:t>
      </w:r>
      <w:r>
        <w:rPr>
          <w:i/>
        </w:rPr>
        <w:t xml:space="preserve">Scientific Reports</w:t>
      </w:r>
      <w:r>
        <w:t xml:space="preserve">. </w:t>
      </w:r>
      <w:hyperlink r:id="rId15" w:history="1">
        <w:r>
          <w:rPr>
            <w:rStyle w:val="Hyperlink"/>
          </w:rPr>
          <w:t xml:space="preserve">PMC5382912</w:t>
        </w:r>
      </w:hyperlink>
    </w:p>
    <w:p>
      <w:pPr>
        <w:pStyle w:val="ListParagraph"/>
        <w:numPr>
          <w:ilvl w:val="0"/>
          <w:numId w:val="9"/>
        </w:numPr>
      </w:pPr>
      <w:r>
        <w:t xml:space="preserve">Crick, L., Burke, A., Hutchison, W., et al. (2021). New insights into the ~74 ka Toba eruption from sulfur isotopes of polar ice cores. </w:t>
      </w:r>
      <w:r>
        <w:rPr>
          <w:i/>
        </w:rPr>
        <w:t xml:space="preserve">Climate of the Past</w:t>
      </w:r>
      <w:r>
        <w:t xml:space="preserve">, 17. </w:t>
      </w:r>
      <w:hyperlink r:id="rId32" w:history="1">
        <w:r>
          <w:rPr>
            <w:rStyle w:val="Hyperlink"/>
          </w:rPr>
          <w:t xml:space="preserve">doi:10.5194/cp-17-2119-2021</w:t>
        </w:r>
      </w:hyperlink>
    </w:p>
    <w:p>
      <w:pPr>
        <w:pStyle w:val="ListParagraph"/>
        <w:numPr>
          <w:ilvl w:val="0"/>
          <w:numId w:val="9"/>
        </w:numPr>
      </w:pPr>
      <w:r>
        <w:t xml:space="preserve">Vandergoes, M. J., Hogg, A. G., Lowe, D. J., et al. (2013). A revised age for the Kawakawa/Oruanui tephra, a key marker for the Last Glacial Maximum in New Zealand. </w:t>
      </w:r>
      <w:r>
        <w:rPr>
          <w:i/>
        </w:rPr>
        <w:t xml:space="preserve">Quaternary Science Reviews</w:t>
      </w:r>
      <w:r>
        <w:t xml:space="preserve">. </w:t>
      </w:r>
      <w:hyperlink r:id="rId20" w:history="1">
        <w:r>
          <w:rPr>
            <w:rStyle w:val="Hyperlink"/>
          </w:rPr>
          <w:t xml:space="preserve">Record</w:t>
        </w:r>
      </w:hyperlink>
      <w:r>
        <w:t xml:space="preserve"> (DOI not retrieved).</w:t>
      </w:r>
    </w:p>
    <w:p>
      <w:pPr>
        <w:pStyle w:val="ListParagraph"/>
        <w:numPr>
          <w:ilvl w:val="0"/>
          <w:numId w:val="9"/>
        </w:numPr>
      </w:pPr>
      <w:r>
        <w:t xml:space="preserve">Dunbar, N. W., Iverson, N. A., Van Eaton, A. R., et al. (2017). New Zealand supereruption provides time marker for the Last Glacial Maximum in Antarctica. </w:t>
      </w:r>
      <w:r>
        <w:rPr>
          <w:i/>
        </w:rPr>
        <w:t xml:space="preserve">Scientific Reports</w:t>
      </w:r>
      <w:r>
        <w:t xml:space="preserve">. </w:t>
      </w:r>
      <w:hyperlink r:id="rId21" w:history="1">
        <w:r>
          <w:rPr>
            <w:rStyle w:val="Hyperlink"/>
          </w:rPr>
          <w:t xml:space="preserve">doi:10.1038/s41598-017-11758-0</w:t>
        </w:r>
      </w:hyperlink>
    </w:p>
    <w:p>
      <w:pPr>
        <w:pStyle w:val="ListParagraph"/>
        <w:numPr>
          <w:ilvl w:val="0"/>
          <w:numId w:val="9"/>
        </w:numPr>
      </w:pPr>
      <w:r>
        <w:t xml:space="preserve">Vishnevskiy, A. V., et al. Bioce rock shelter tephra and the Middle to Upper Paleolithic transition in the eastern Adriatic. </w:t>
      </w:r>
      <w:hyperlink r:id="rId33" w:history="1">
        <w:r>
          <w:rPr>
            <w:rStyle w:val="Hyperlink"/>
          </w:rPr>
          <w:t xml:space="preserve">Record</w:t>
        </w:r>
      </w:hyperlink>
      <w:r>
        <w:t xml:space="preserve">.</w:t>
      </w:r>
    </w:p>
    <w:p>
      <w:pPr/>
      <w:r>
        <w:rPr>
          <w:b/>
        </w:rPr>
        <w:t xml:space="preserve">Climate</w:t>
      </w:r>
    </w:p>
    <w:p>
      <w:pPr>
        <w:pStyle w:val="ListParagraph"/>
        <w:numPr>
          <w:ilvl w:val="0"/>
          <w:numId w:val="10"/>
        </w:numPr>
      </w:pPr>
      <w:r>
        <w:t xml:space="preserve">Bukar, S., von Dobeneck, T., Max, L., Lenz, M. M., &amp; Mulitza, S. Extended age model of sediment core GeoB18530-1 (Heinrich layers H1–H6). PANGAEA. </w:t>
      </w:r>
      <w:hyperlink r:id="rId16" w:history="1">
        <w:r>
          <w:rPr>
            <w:rStyle w:val="Hyperlink"/>
          </w:rPr>
          <w:t xml:space="preserve">doi:10.1594/PANGAEA.971256</w:t>
        </w:r>
      </w:hyperlink>
    </w:p>
    <w:p>
      <w:pPr>
        <w:pStyle w:val="ListParagraph"/>
        <w:numPr>
          <w:ilvl w:val="0"/>
          <w:numId w:val="10"/>
        </w:numPr>
      </w:pPr>
      <w:r>
        <w:t xml:space="preserve">Heinrich event. </w:t>
      </w:r>
      <w:r>
        <w:rPr>
          <w:i/>
        </w:rPr>
        <w:t xml:space="preserve">Encyclopædia Britannica</w:t>
      </w:r>
      <w:r>
        <w:t xml:space="preserve">. </w:t>
      </w:r>
      <w:hyperlink r:id="rId28" w:history="1">
        <w:r>
          <w:rPr>
            <w:rStyle w:val="Hyperlink"/>
          </w:rPr>
          <w:t xml:space="preserve">Entry</w:t>
        </w:r>
      </w:hyperlink>
    </w:p>
    <w:p>
      <w:pPr>
        <w:pStyle w:val="ListParagraph"/>
        <w:numPr>
          <w:ilvl w:val="0"/>
          <w:numId w:val="10"/>
        </w:numPr>
      </w:pPr>
      <w:r>
        <w:t xml:space="preserve">Büntgen, U., Myglan, V. S., Ljungqvist, F. C., et al. (2016). Cooling and societal change during the Late Antique Little Ice Age from 536 to around 660 AD. </w:t>
      </w:r>
      <w:r>
        <w:rPr>
          <w:i/>
        </w:rPr>
        <w:t xml:space="preserve">Nature Geoscience</w:t>
      </w:r>
      <w:r>
        <w:t xml:space="preserve">, 9, 231–236. </w:t>
      </w:r>
      <w:hyperlink r:id="rId22" w:history="1">
        <w:r>
          <w:rPr>
            <w:rStyle w:val="Hyperlink"/>
          </w:rPr>
          <w:t xml:space="preserve">doi:10.1038/ngeo2652</w:t>
        </w:r>
      </w:hyperlink>
    </w:p>
    <w:p>
      <w:pPr/>
      <w:r>
        <w:rPr>
          <w:b/>
        </w:rPr>
        <w:t xml:space="preserve">Human record</w:t>
      </w:r>
    </w:p>
    <w:p>
      <w:pPr>
        <w:pStyle w:val="ListParagraph"/>
        <w:numPr>
          <w:ilvl w:val="0"/>
          <w:numId w:val="11"/>
        </w:numPr>
      </w:pPr>
      <w:r>
        <w:t xml:space="preserve">Higham, T., Douka, K., Wood, R., et al. (2014). The timing and spatiotemporal patterning of Neanderthal disappearance. </w:t>
      </w:r>
      <w:r>
        <w:rPr>
          <w:i/>
        </w:rPr>
        <w:t xml:space="preserve">Nature</w:t>
      </w:r>
      <w:r>
        <w:t xml:space="preserve">, 512, 306–309. </w:t>
      </w:r>
      <w:hyperlink r:id="rId17" w:history="1">
        <w:r>
          <w:rPr>
            <w:rStyle w:val="Hyperlink"/>
          </w:rPr>
          <w:t xml:space="preserve">doi:10.1038/nature13621</w:t>
        </w:r>
      </w:hyperlink>
    </w:p>
    <w:p>
      <w:pPr>
        <w:pStyle w:val="ListParagraph"/>
        <w:numPr>
          <w:ilvl w:val="0"/>
          <w:numId w:val="11"/>
        </w:numPr>
      </w:pPr>
      <w:r>
        <w:t xml:space="preserve">Cooper, A., Turney, C. S. M., Palmer, J., et al. (2021). A global environmental crisis 42,000 years ago. </w:t>
      </w:r>
      <w:r>
        <w:rPr>
          <w:i/>
        </w:rPr>
        <w:t xml:space="preserve">Science</w:t>
      </w:r>
      <w:r>
        <w:t xml:space="preserve">, 371(6531), 811–818. </w:t>
      </w:r>
      <w:hyperlink r:id="rId14" w:history="1">
        <w:r>
          <w:rPr>
            <w:rStyle w:val="Hyperlink"/>
          </w:rPr>
          <w:t xml:space="preserve">doi:10.1126/science.abb8677</w:t>
        </w:r>
      </w:hyperlink>
    </w:p>
    <w:p>
      <w:pPr>
        <w:pStyle w:val="ListParagraph"/>
        <w:numPr>
          <w:ilvl w:val="0"/>
          <w:numId w:val="11"/>
        </w:numPr>
      </w:pPr>
      <w:r>
        <w:t xml:space="preserve">Comment on "A global environmental crisis 42,000 years ago" (2021). </w:t>
      </w:r>
      <w:r>
        <w:rPr>
          <w:i/>
        </w:rPr>
        <w:t xml:space="preserve">Science</w:t>
      </w:r>
      <w:r>
        <w:t xml:space="preserve">, 374(6570), eabi8330. </w:t>
      </w:r>
      <w:hyperlink r:id="rId34" w:history="1">
        <w:r>
          <w:rPr>
            <w:rStyle w:val="Hyperlink"/>
          </w:rPr>
          <w:t xml:space="preserve">doi:10.1126/science.abi8330</w:t>
        </w:r>
      </w:hyperlink>
    </w:p>
    <w:p>
      <w:pPr/>
      <w:r>
        <w:rPr>
          <w:b/>
        </w:rPr>
        <w:t xml:space="preserve">Field–climate link</w:t>
      </w:r>
    </w:p>
    <w:p>
      <w:pPr>
        <w:pStyle w:val="ListParagraph"/>
        <w:numPr>
          <w:ilvl w:val="0"/>
          <w:numId w:val="12"/>
        </w:numPr>
      </w:pPr>
      <w:r>
        <w:t xml:space="preserve">Yang, T., Yu, Y., Li, J., et al. (2004). Paleomagnetic excursions recorded in the Yanchi Playa in middle Hexi Corridor, NW China since the last interglacial. </w:t>
      </w:r>
      <w:hyperlink r:id="rId29" w:history="1">
        <w:r>
          <w:rPr>
            <w:rStyle w:val="Hyperlink"/>
          </w:rPr>
          <w:t xml:space="preserve">Record</w:t>
        </w:r>
      </w:hyperlink>
      <w:r>
        <w:t xml:space="preserve">.</w:t>
      </w:r>
    </w:p>
    <w:p>
      <w:pPr>
        <w:pStyle w:val="ListParagraph"/>
        <w:numPr>
          <w:ilvl w:val="0"/>
          <w:numId w:val="12"/>
        </w:numPr>
      </w:pPr>
      <w:r>
        <w:t xml:space="preserve">Channell, J. E. T., et al. (2008). Geomagnetic paleointensity and climate correlation (</w:t>
      </w:r>
      <w:r>
        <w:rPr>
          <w:i/>
        </w:rPr>
        <w:t xml:space="preserve">Earth and Planetary Science Letters</w:t>
      </w:r>
      <w:r>
        <w:t xml:space="preserve">). </w:t>
      </w:r>
      <w:hyperlink r:id="rId27" w:history="1">
        <w:r>
          <w:rPr>
            <w:rStyle w:val="Hyperlink"/>
          </w:rPr>
          <w:t xml:space="preserve">PDF</w:t>
        </w:r>
      </w:hyperlink>
      <w:r>
        <w:t xml:space="preserve"> (DOI not retrieved).</w:t>
      </w:r>
    </w:p>
    <w:p>
      <w:pPr/>
      <w:r>
        <w:rPr>
          <w:b/>
        </w:rPr>
        <w:t xml:space="preserve">Mechanism, UV and the ocean</w:t>
      </w:r>
    </w:p>
    <w:p>
      <w:pPr>
        <w:pStyle w:val="ListParagraph"/>
        <w:numPr>
          <w:ilvl w:val="0"/>
          <w:numId w:val="13"/>
        </w:numPr>
      </w:pPr>
      <w:r>
        <w:t xml:space="preserve">Arsenović, P., et al. (2024). Global impacts of an extreme solar particle event under different geomagnetic field strengths. </w:t>
      </w:r>
      <w:r>
        <w:rPr>
          <w:i/>
        </w:rPr>
        <w:t xml:space="preserve">PNAS</w:t>
      </w:r>
      <w:r>
        <w:t xml:space="preserve">, 121, e2321770121. </w:t>
      </w:r>
      <w:hyperlink r:id="rId6" w:history="1">
        <w:r>
          <w:rPr>
            <w:rStyle w:val="Hyperlink"/>
          </w:rPr>
          <w:t xml:space="preserve">doi:10.1073/pnas.2321770121</w:t>
        </w:r>
      </w:hyperlink>
    </w:p>
    <w:p>
      <w:pPr>
        <w:pStyle w:val="ListParagraph"/>
        <w:numPr>
          <w:ilvl w:val="0"/>
          <w:numId w:val="13"/>
        </w:numPr>
      </w:pPr>
      <w:r>
        <w:t xml:space="preserve">Arsenović, P. (2026). Atmospheric and climate impacts of an extreme solar particle event under the reconstructed Laschamps geomagnetic field. Conference abstract. </w:t>
      </w:r>
      <w:hyperlink r:id="rId24" w:history="1">
        <w:r>
          <w:rPr>
            <w:rStyle w:val="Hyperlink"/>
          </w:rPr>
          <w:t xml:space="preserve">Abstract</w:t>
        </w:r>
      </w:hyperlink>
    </w:p>
    <w:p>
      <w:pPr>
        <w:pStyle w:val="ListParagraph"/>
        <w:numPr>
          <w:ilvl w:val="0"/>
          <w:numId w:val="13"/>
        </w:numPr>
      </w:pPr>
      <w:r>
        <w:t xml:space="preserve">Panovska, S. (2024). Laschamps reconstruction from cosmogenic radionuclides and paleomagnetic data, EGU General Assembly 2024, reported in </w:t>
      </w:r>
      <w:hyperlink r:id="rId4" w:history="1">
        <w:r>
          <w:rPr>
            <w:rStyle w:val="Hyperlink"/>
          </w:rPr>
          <w:t xml:space="preserve">Universe Today</w:t>
        </w:r>
      </w:hyperlink>
      <w:r>
        <w:t xml:space="preserve">.</w:t>
      </w:r>
    </w:p>
    <w:p>
      <w:pPr>
        <w:pStyle w:val="ListParagraph"/>
        <w:numPr>
          <w:ilvl w:val="0"/>
          <w:numId w:val="13"/>
        </w:numPr>
      </w:pPr>
      <w:r>
        <w:t xml:space="preserve">University of Bergen. Laschamps-UV: Reconstructions of UV-B radiation across the Laschamps geomagnetic excursion. </w:t>
      </w:r>
      <w:hyperlink r:id="rId9" w:history="1">
        <w:r>
          <w:rPr>
            <w:rStyle w:val="Hyperlink"/>
          </w:rPr>
          <w:t xml:space="preserve">Project page</w:t>
        </w:r>
      </w:hyperlink>
    </w:p>
    <w:p>
      <w:pPr>
        <w:pStyle w:val="ListParagraph"/>
        <w:numPr>
          <w:ilvl w:val="0"/>
          <w:numId w:val="13"/>
        </w:numPr>
      </w:pPr>
      <w:r>
        <w:t xml:space="preserve">Cullen, J. J., Neale, P. J., &amp; Lesser, M. P. (1992). Biological weighting function for the inhibition of phytoplankton photosynthesis by ultraviolet radiation. </w:t>
      </w:r>
      <w:r>
        <w:rPr>
          <w:i/>
        </w:rPr>
        <w:t xml:space="preserve">Science</w:t>
      </w:r>
      <w:r>
        <w:t xml:space="preserve">. </w:t>
      </w:r>
      <w:hyperlink r:id="rId8" w:history="1">
        <w:r>
          <w:rPr>
            <w:rStyle w:val="Hyperlink"/>
          </w:rPr>
          <w:t xml:space="preserve">NASA NTRS record</w:t>
        </w:r>
      </w:hyperlink>
    </w:p>
    <w:p>
      <w:pPr>
        <w:pStyle w:val="ListParagraph"/>
        <w:numPr>
          <w:ilvl w:val="0"/>
          <w:numId w:val="13"/>
        </w:numPr>
      </w:pPr>
      <w:r>
        <w:t xml:space="preserve">Smith, R. C., et al. (1992). Ozone depletion: ultraviolet radiation and phytoplankton biology in Antarctic waters. </w:t>
      </w:r>
      <w:r>
        <w:rPr>
          <w:i/>
        </w:rPr>
        <w:t xml:space="preserve">Science</w:t>
      </w:r>
      <w:r>
        <w:t xml:space="preserve">. Reported in </w:t>
      </w:r>
      <w:hyperlink r:id="rId13" w:history="1">
        <w:r>
          <w:rPr>
            <w:rStyle w:val="Hyperlink"/>
          </w:rPr>
          <w:t xml:space="preserve">Christian Science Monitor, 1993</w:t>
        </w:r>
      </w:hyperlink>
      <w:r>
        <w:t xml:space="preserve"> (DOI not retrieved).</w:t>
      </w:r>
    </w:p>
    <w:p>
      <w:pPr>
        <w:pStyle w:val="ListParagraph"/>
        <w:numPr>
          <w:ilvl w:val="0"/>
          <w:numId w:val="13"/>
        </w:numPr>
      </w:pPr>
      <w:r>
        <w:t xml:space="preserve">Smith, R. C., &amp; Baker, K. S. Stratospheric ozone, middle ultraviolet radiation and phytoplankton productivity. </w:t>
      </w:r>
      <w:r>
        <w:rPr>
          <w:i/>
        </w:rPr>
        <w:t xml:space="preserve">Oceanography</w:t>
      </w:r>
      <w:r>
        <w:t xml:space="preserve">, 2(2). </w:t>
      </w:r>
      <w:hyperlink r:id="rId7" w:history="1">
        <w:r>
          <w:rPr>
            <w:rStyle w:val="Hyperlink"/>
          </w:rPr>
          <w:t xml:space="preserve">PDF</w:t>
        </w:r>
      </w:hyperlink>
    </w:p>
    <w:p>
      <w:pPr>
        <w:pStyle w:val="ListParagraph"/>
        <w:numPr>
          <w:ilvl w:val="0"/>
          <w:numId w:val="13"/>
        </w:numPr>
      </w:pPr>
      <w:r>
        <w:t xml:space="preserve">Australian Antarctic Division. In situ UV exposure of Antarctic </w:t>
      </w:r>
      <w:r>
        <w:rPr>
          <w:i/>
        </w:rPr>
        <w:t xml:space="preserve">Phaeocystis</w:t>
      </w:r>
      <w:r>
        <w:t xml:space="preserve"> and diatoms. </w:t>
      </w:r>
      <w:hyperlink r:id="rId12" w:history="1">
        <w:r>
          <w:rPr>
            <w:rStyle w:val="Hyperlink"/>
          </w:rPr>
          <w:t xml:space="preserve">PDF</w:t>
        </w:r>
      </w:hyperlink>
    </w:p>
    <w:p>
      <w:pPr>
        <w:pStyle w:val="ListParagraph"/>
        <w:numPr>
          <w:ilvl w:val="0"/>
          <w:numId w:val="13"/>
        </w:numPr>
      </w:pPr>
      <w:r>
        <w:t xml:space="preserve">NOAA National Ocean Service. How much oxygen comes from the ocean? </w:t>
      </w:r>
      <w:hyperlink r:id="rId10" w:history="1">
        <w:r>
          <w:rPr>
            <w:rStyle w:val="Hyperlink"/>
          </w:rPr>
          <w:t xml:space="preserve">Page</w:t>
        </w:r>
      </w:hyperlink>
    </w:p>
    <w:p>
      <w:pPr>
        <w:pStyle w:val="ListParagraph"/>
        <w:numPr>
          <w:ilvl w:val="0"/>
          <w:numId w:val="13"/>
        </w:numPr>
      </w:pPr>
      <w:r>
        <w:t xml:space="preserve">EarthSky. How much do oceans add to world's oxygen? </w:t>
      </w:r>
      <w:hyperlink r:id="rId11" w:history="1">
        <w:r>
          <w:rPr>
            <w:rStyle w:val="Hyperlink"/>
          </w:rPr>
          <w:t xml:space="preserve">Article</w:t>
        </w:r>
      </w:hyperlink>
    </w:p>
    <w:p>
      <w:pPr/>
      <w:r>
        <w:rPr>
          <w:b/>
        </w:rPr>
        <w:t xml:space="preserve">Present-day field</w:t>
      </w:r>
    </w:p>
    <w:p>
      <w:pPr>
        <w:pStyle w:val="ListParagraph"/>
        <w:numPr>
          <w:ilvl w:val="0"/>
          <w:numId w:val="14"/>
        </w:numPr>
      </w:pPr>
      <w:r>
        <w:t xml:space="preserve">Finlay, C. C., et al. (2025). </w:t>
      </w:r>
      <w:r>
        <w:rPr>
          <w:i/>
        </w:rPr>
        <w:t xml:space="preserve">Physics of the Earth and Planetary Interiors</w:t>
      </w:r>
      <w:r>
        <w:t xml:space="preserve">. </w:t>
      </w:r>
      <w:hyperlink r:id="rId23" w:history="1">
        <w:r>
          <w:rPr>
            <w:rStyle w:val="Hyperlink"/>
          </w:rPr>
          <w:t xml:space="preserve">doi:10.1016/j.pepi.2025.107447</w:t>
        </w:r>
      </w:hyperlink>
    </w:p>
    <w:p>
      <w:pPr>
        <w:pStyle w:val="ListParagraph"/>
        <w:numPr>
          <w:ilvl w:val="0"/>
          <w:numId w:val="14"/>
        </w:numPr>
      </w:pPr>
      <w:r>
        <w:t xml:space="preserve">Kunferman, C. R. Dipole position simulation. DOI to be added.</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0"/>
  </w:num>
  <w:num w:numId="5">
    <w:abstractNumId w:val="0"/>
  </w:num>
  <w:num w:numId="6">
    <w:abstractNumId w:val="0"/>
  </w:num>
  <w:num w:numId="7">
    <w:abstractNumId w:val="0"/>
  </w:num>
  <w:num w:numId="8">
    <w:abstractNumId w:val="1"/>
    <w:lvlOverride w:ilvl="0">
      <w:startOverride w:val="1"/>
    </w:lvlOverride>
  </w:num>
  <w:num w:numId="9">
    <w:abstractNumId w:val="1"/>
    <w:lvlOverride w:ilvl="0">
      <w:startOverride w:val="9"/>
    </w:lvlOverride>
  </w:num>
  <w:num w:numId="10">
    <w:abstractNumId w:val="1"/>
    <w:lvlOverride w:ilvl="0">
      <w:startOverride w:val="14"/>
    </w:lvlOverride>
  </w:num>
  <w:num w:numId="11">
    <w:abstractNumId w:val="1"/>
    <w:lvlOverride w:ilvl="0">
      <w:startOverride w:val="17"/>
    </w:lvlOverride>
  </w:num>
  <w:num w:numId="12">
    <w:abstractNumId w:val="1"/>
    <w:lvlOverride w:ilvl="0">
      <w:startOverride w:val="20"/>
    </w:lvlOverride>
  </w:num>
  <w:num w:numId="13">
    <w:abstractNumId w:val="1"/>
    <w:lvlOverride w:ilvl="0">
      <w:startOverride w:val="22"/>
    </w:lvlOverride>
  </w:num>
  <w:num w:numId="14">
    <w:abstractNumId w:val="1"/>
    <w:lvlOverride w:ilvl="0">
      <w:startOverride w:val="32"/>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doi.org/10.1126/sciadv.adq7275" TargetMode="External"/><Relationship Id="rId4" Type="http://schemas.openxmlformats.org/officeDocument/2006/relationships/hyperlink" Target="https://www.universetoday.com/articles/41000-years-ago-earths-shield-went-down" TargetMode="External"/><Relationship Id="rId5" Type="http://schemas.openxmlformats.org/officeDocument/2006/relationships/hyperlink" Target="https://repository.arizona.edu/handle/10150/654611" TargetMode="External"/><Relationship Id="rId6" Type="http://schemas.openxmlformats.org/officeDocument/2006/relationships/hyperlink" Target="https://doi.org/10.1073/pnas.2321770121" TargetMode="External"/><Relationship Id="rId7" Type="http://schemas.openxmlformats.org/officeDocument/2006/relationships/hyperlink" Target="https://tos.org/oceanography/assets/docs/2-2_smith.pdf" TargetMode="External"/><Relationship Id="rId8" Type="http://schemas.openxmlformats.org/officeDocument/2006/relationships/hyperlink" Target="https://ntrs.nasa.gov/citations/19930042727" TargetMode="External"/><Relationship Id="rId9" Type="http://schemas.openxmlformats.org/officeDocument/2006/relationships/hyperlink" Target="https://www4.uib.no/en/research/research-projects/laschamps-uv" TargetMode="External"/><Relationship Id="rId10" Type="http://schemas.openxmlformats.org/officeDocument/2006/relationships/hyperlink" Target="https://oceanservice.noaa.gov/facts/ocean-oxygen.html" TargetMode="External"/><Relationship Id="rId11" Type="http://schemas.openxmlformats.org/officeDocument/2006/relationships/hyperlink" Target="https://earthsky.org/earth/how-much-do-oceans-add-to-worlds-oxygen" TargetMode="External"/><Relationship Id="rId12" Type="http://schemas.openxmlformats.org/officeDocument/2006/relationships/hyperlink" Target="https://nipr.repo.nii.ac.jp/record/5217/files/KJ00000767560.pdf" TargetMode="External"/><Relationship Id="rId13" Type="http://schemas.openxmlformats.org/officeDocument/2006/relationships/hyperlink" Target="https://csmonitor.com/1993/1229/29111.html" TargetMode="External"/><Relationship Id="rId14" Type="http://schemas.openxmlformats.org/officeDocument/2006/relationships/hyperlink" Target="https://doi.org/10.1126/science.abb8677" TargetMode="External"/><Relationship Id="rId15" Type="http://schemas.openxmlformats.org/officeDocument/2006/relationships/hyperlink" Target="https://pmc.ncbi.nlm.nih.gov/articles/PMC5382912/" TargetMode="External"/><Relationship Id="rId16" Type="http://schemas.openxmlformats.org/officeDocument/2006/relationships/hyperlink" Target="https://doi.pangaea.de/10.1594/PANGAEA.971256" TargetMode="External"/><Relationship Id="rId17" Type="http://schemas.openxmlformats.org/officeDocument/2006/relationships/hyperlink" Target="https://doi.org/10.1038/nature13621" TargetMode="External"/><Relationship Id="rId18" Type="http://schemas.openxmlformats.org/officeDocument/2006/relationships/hyperlink" Target="https://docta.ucm.es/entities/publication/77b314fb-e0c1-4975-8768-6a6f2fb8679c" TargetMode="External"/><Relationship Id="rId19" Type="http://schemas.openxmlformats.org/officeDocument/2006/relationships/hyperlink" Target="https://doi.org/10.1016/j.yqres.2010.11.003" TargetMode="External"/><Relationship Id="rId20" Type="http://schemas.openxmlformats.org/officeDocument/2006/relationships/hyperlink" Target="https://researchcommons.waikato.ac.nz/handle/10289/7256" TargetMode="External"/><Relationship Id="rId21" Type="http://schemas.openxmlformats.org/officeDocument/2006/relationships/hyperlink" Target="https://doi.org/10.1038/s41598-017-11758-0" TargetMode="External"/><Relationship Id="rId22" Type="http://schemas.openxmlformats.org/officeDocument/2006/relationships/hyperlink" Target="https://doi.org/10.1038/ngeo2652" TargetMode="External"/><Relationship Id="rId23" Type="http://schemas.openxmlformats.org/officeDocument/2006/relationships/hyperlink" Target="https://doi.org/10.1016/j.pepi.2025.107447" TargetMode="External"/><Relationship Id="rId24" Type="http://schemas.openxmlformats.org/officeDocument/2006/relationships/hyperlink" Target="https://indico.global/event/17578/contributions/151911/" TargetMode="External"/><Relationship Id="rId25" Type="http://schemas.openxmlformats.org/officeDocument/2006/relationships/hyperlink" Target="https://doi.org/10.1029/2024JB029835" TargetMode="External"/><Relationship Id="rId26" Type="http://schemas.openxmlformats.org/officeDocument/2006/relationships/hyperlink" Target="https://doi.org/10.1029/2019JB019225" TargetMode="External"/><Relationship Id="rId27" Type="http://schemas.openxmlformats.org/officeDocument/2006/relationships/hyperlink" Target="https://people.clas.ufl.edu/jetc/files/channelletalEPSL2008.pdf" TargetMode="External"/><Relationship Id="rId28" Type="http://schemas.openxmlformats.org/officeDocument/2006/relationships/hyperlink" Target="https://www.britannica.com/topic/Heinrich-event" TargetMode="External"/><Relationship Id="rId29" Type="http://schemas.openxmlformats.org/officeDocument/2006/relationships/hyperlink" Target="https://jms.imde.ac.cn/article/id/fcca3988-ebc4-4b6a-ac80-9285f88223e0" TargetMode="External"/><Relationship Id="rId30" Type="http://schemas.openxmlformats.org/officeDocument/2006/relationships/hyperlink" Target="https://cir.cenieh.es/handle/20.500.12136/306" TargetMode="External"/><Relationship Id="rId31" Type="http://schemas.openxmlformats.org/officeDocument/2006/relationships/hyperlink" Target="https://openpolar.no/Record/ftceafr:oai:HAL:hal-01054336v1" TargetMode="External"/><Relationship Id="rId32" Type="http://schemas.openxmlformats.org/officeDocument/2006/relationships/hyperlink" Target="https://doi.org/10.5194/cp-17-2119-2021" TargetMode="External"/><Relationship Id="rId33" Type="http://schemas.openxmlformats.org/officeDocument/2006/relationships/hyperlink" Target="https://archaeology.nsc.ru/en/publications/jr-aeae-en/19-47-4/annot-01/" TargetMode="External"/><Relationship Id="rId34" Type="http://schemas.openxmlformats.org/officeDocument/2006/relationships/hyperlink" Target="https://doi.org/10.1126/science.abi8330"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What Happened in the Windows</dc:title>
  <dc:description>Claude Docs node/ef54143d-8167@16 docx-w6</dc:description>
  <cp:revision>16</cp:revision>
</cp:coreProperties>
</file>