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What Recurrence Doesn't Tell You</w:t>
      </w:r>
    </w:p>
    <w:p>
      <w:pPr/>
      <w:r>
        <w:t xml:space="preserve">Oct 8, 2026</w:t>
      </w:r>
      <w:r>
        <w:t xml:space="preserve"> · </w:t>
      </w:r>
      <w:r>
        <w:t xml:space="preserve">@C.R. Kunferman, Founder Of The Journal Of Experiential Research</w:t>
      </w:r>
    </w:p>
    <w:p>
      <w:pPr/>
      <w:r>
        <w:t xml:space="preserve">"It has happened before" is the premise of concern, not the rebuttal to it. If a process recurs, then whatever happened during its past instances is a forecast, not a footnote.</w:t>
      </w:r>
    </w:p>
    <w:p>
      <w:pPr/>
      <w:r>
        <w:t xml:space="preserve">Two recent papers establish that weak spots like the South Atlantic Anomaly recur. Both treat that as reassurance. Neither asks what happened on the surface while the field was down. The weakening isn't the event. It's the window. What matters is what gets through the window, and what it does while the shield is thin.</w:t>
      </w:r>
    </w:p>
    <w:p>
      <w:pPr/>
      <w:r>
        <w:t xml:space="preserve">This paper is about a weakened field, not a pole reversal. The author's simulation shows that the dipole in its current position, on its own, leaves the field exposed over the South Atlantic Anomaly region, before any surface complexity is added.</w:t>
      </w:r>
    </w:p>
    <w:p>
      <w:pPr/>
      <w:r>
        <w:t xml:space="preserve">The Laschamps excursion, about 41,000 years ago, is the clearest case of a field collapse we can date. It is used below as the consequence each argument has to answer for.</w:t>
      </w:r>
    </w:p>
    <w:p>
      <w:pPr>
        <w:pStyle w:val="Heading2"/>
      </w:pPr>
      <w:r>
        <w:t xml:space="preserve">1. The recurrence is established, and its contents were left out</w:t>
      </w:r>
    </w:p>
    <w:p>
      <w:pPr/>
      <w:r>
        <w:t xml:space="preserve">The 2026 PNAS study led by the Institute of Geosciences in Madrid is the source of the current "it's not new" framing (</w:t>
      </w:r>
      <w:hyperlink r:id="rId3" w:history="1">
        <w:r>
          <w:rPr>
            <w:rStyle w:val="Hyperlink"/>
          </w:rPr>
          <w:t xml:space="preserve">Gómez-Paccard et al., 2026</w:t>
        </w:r>
      </w:hyperlink>
      <w:r>
        <w:t xml:space="preserve">). From 41 new measurements on archaeological material in northwest Argentina, the authors show that low-intensity anomalies have recurred in the Southern Hemisphere for at least two thousand years. Their model traces one such weak spot drifting west between 1 and 850 CE, from the Indian Ocean toward South America, along a path much like the modern anomaly's.</w:t>
      </w:r>
    </w:p>
    <w:p>
      <w:pPr/>
      <w:r>
        <w:t xml:space="preserve">That is careful work, and it answers one question well: where does the weak spot go, and how long does it last? It does not ask what happened beneath it. The path is mapped. What came through is not examined.</w:t>
      </w:r>
    </w:p>
    <w:p>
      <w:pPr/>
      <w:r>
        <w:t xml:space="preserve">That gap matters because the same paper is now being used to say the present anomaly is nothing to worry about. Recurrence plus known consequences equals forecast. Recurrence is only reassuring if nothing significant happened during earlier instances, and that is never tested here.</w:t>
      </w:r>
    </w:p>
    <w:p>
      <w:pPr/>
      <w:r>
        <w:rPr>
          <w:b/>
        </w:rPr>
        <w:t xml:space="preserve">Where Laschamps fits.</w:t>
      </w:r>
      <w:r>
        <w:t xml:space="preserve"> Laschamps is the deepest dated instance of the same underlying condition, a weak field. Around 41,000 years ago, field strength fell to about 10% of today's. The episode lasted roughly 2,000 years, and the steepest drop and tilt took about 300 of them (</w:t>
      </w:r>
      <w:hyperlink r:id="rId4" w:history="1">
        <w:r>
          <w:rPr>
            <w:rStyle w:val="Hyperlink"/>
          </w:rPr>
          <w:t xml:space="preserve">Mukhopadhyay et al., 2025</w:t>
        </w:r>
      </w:hyperlink>
      <w:r>
        <w:t xml:space="preserve">). In that window:</w:t>
      </w:r>
    </w:p>
    <w:p>
      <w:pPr>
        <w:pStyle w:val="ListParagraph"/>
        <w:numPr>
          <w:ilvl w:val="0"/>
          <w:numId w:val="2"/>
        </w:numPr>
      </w:pPr>
      <w:r>
        <w:t xml:space="preserve">The auroral zone and open field lines spread toward the mid-latitudes, so radiation reached regions it normally doesn't (</w:t>
      </w:r>
      <w:hyperlink r:id="rId4" w:history="1">
        <w:r>
          <w:rPr>
            <w:rStyle w:val="Hyperlink"/>
          </w:rPr>
          <w:t xml:space="preserve">Mukhopadhyay et al., 2025</w:t>
        </w:r>
      </w:hyperlink>
      <w:r>
        <w:t xml:space="preserve">).</w:t>
      </w:r>
    </w:p>
    <w:p>
      <w:pPr>
        <w:pStyle w:val="ListParagraph"/>
        <w:numPr>
          <w:ilvl w:val="0"/>
          <w:numId w:val="2"/>
        </w:numPr>
      </w:pPr>
      <w:r>
        <w:t xml:space="preserve">Cooper and colleagues modeled substantial changes in ozone and atmospheric circulation. They tied these to synchronous climate shifts, extinctions and changes in the archaeological record (</w:t>
      </w:r>
      <w:hyperlink r:id="rId5" w:history="1">
        <w:r>
          <w:rPr>
            <w:rStyle w:val="Hyperlink"/>
          </w:rPr>
          <w:t xml:space="preserve">Cooper et al., 2021</w:t>
        </w:r>
      </w:hyperlink>
      <w:r>
        <w:t xml:space="preserve">).</w:t>
      </w:r>
    </w:p>
    <w:p>
      <w:pPr>
        <w:pStyle w:val="ListParagraph"/>
        <w:numPr>
          <w:ilvl w:val="0"/>
          <w:numId w:val="2"/>
        </w:numPr>
      </w:pPr>
      <w:r>
        <w:t xml:space="preserve">Modeling summarized by the Laschamps-UV project at the University of Bergen indicates higher surface UV-B in the run-up to the excursion (</w:t>
      </w:r>
      <w:hyperlink r:id="rId6" w:history="1">
        <w:r>
          <w:rPr>
            <w:rStyle w:val="Hyperlink"/>
          </w:rPr>
          <w:t xml:space="preserve">Laschamps-UV</w:t>
        </w:r>
      </w:hyperlink>
      <w:r>
        <w:t xml:space="preserve">).</w:t>
      </w:r>
    </w:p>
    <w:p>
      <w:pPr/>
      <w:r>
        <w:t xml:space="preserve">These claims are contested, and the paper should say so. A 2021 comment in </w:t>
      </w:r>
      <w:r>
        <w:rPr>
          <w:i/>
        </w:rPr>
        <w:t xml:space="preserve">Science</w:t>
      </w:r>
      <w:r>
        <w:t xml:space="preserve"> argues the archaeological data were used selectively and that ice cores show no clear climate signal (</w:t>
      </w:r>
      <w:hyperlink r:id="rId7" w:history="1">
        <w:r>
          <w:rPr>
            <w:rStyle w:val="Hyperlink"/>
          </w:rPr>
          <w:t xml:space="preserve">comment</w:t>
        </w:r>
      </w:hyperlink>
      <w:r>
        <w:t xml:space="preserve">; </w:t>
      </w:r>
      <w:hyperlink r:id="rId8" w:history="1">
        <w:r>
          <w:rPr>
            <w:rStyle w:val="Hyperlink"/>
          </w:rPr>
          <w:t xml:space="preserve">reply</w:t>
        </w:r>
      </w:hyperlink>
      <w:r>
        <w:t xml:space="preserve">). The Bergen group says the question won't settle until UV-B is reconstructed directly.</w:t>
      </w:r>
    </w:p>
    <w:p>
      <w:pPr/>
      <w:r>
        <w:t xml:space="preserve">That dispute supports the point rather than weakening it. Whether a weak field harms life at the surface is an open, actively researched question. A paper that offers recurrence as comfort, without touching that question, has left out the part that decides whether comfort is warranted.</w:t>
      </w:r>
    </w:p>
    <w:p>
      <w:pPr>
        <w:pStyle w:val="Heading2"/>
      </w:pPr>
      <w:r>
        <w:t xml:space="preserve">2. The recurrence has a rhythm, tied to how strong the dipole is</w:t>
      </w:r>
    </w:p>
    <w:p>
      <w:pPr/>
      <w:r>
        <w:t xml:space="preserve">The 2022 PNAS study from Lund University goes a step further (</w:t>
      </w:r>
      <w:hyperlink r:id="rId9" w:history="1">
        <w:r>
          <w:rPr>
            <w:rStyle w:val="Hyperlink"/>
          </w:rPr>
          <w:t xml:space="preserve">Nilsson et al., 2022</w:t>
        </w:r>
      </w:hyperlink>
      <w:r>
        <w:t xml:space="preserve">). Using a 9,000-year model of the field, it finds lopsided, weak-hemisphere configurations that come back again and again. These are linked to quasi-periodic, thousand-year-scale swings in the strength of the dipole. When the dipole is at a low, an anomaly like the South Atlantic one tends to appear.</w:t>
      </w:r>
    </w:p>
    <w:p>
      <w:pPr/>
      <w:r>
        <w:t xml:space="preserve">That ties the anomaly to dipole strength, which fits the dipole-geometry framing above. Geometry decides where the weak spot sits. Dipole strength decides how weak it gets.</w:t>
      </w:r>
    </w:p>
    <w:p>
      <w:pPr/>
      <w:r>
        <w:t xml:space="preserve">The paper's own conclusion has to be stated plainly, because a critic will raise it first. Taking ~600 BCE as their closest match to today, the authors expect the anomaly to fade within a few hundred years, possibly with the dipole recovering. They see no reversal coming. This paper is where the "it'll be fine" position actually comes from.</w:t>
      </w:r>
    </w:p>
    <w:p>
      <w:pPr/>
      <w:r>
        <w:t xml:space="preserve">But "it resolved" is not the same as "it was harmless." The paper models the field's shape and timing, not what reached the ground while it was weak.</w:t>
      </w:r>
    </w:p>
    <w:p>
      <w:pPr/>
      <w:r>
        <w:rPr>
          <w:b/>
        </w:rPr>
        <w:t xml:space="preserve">Where Laschamps fits.</w:t>
      </w:r>
      <w:r>
        <w:t xml:space="preserve"> If anomalies track dipole minima, Laschamps is what the deep end of a dipole minimum looks like, a field at roughly a tenth of today's. The paper describes the shallow, self-correcting lows. Laschamps shows what is at stake if a low keeps going. A forecast that says "this one will recover" still has to say how it rules out the other outcome.</w:t>
      </w:r>
    </w:p>
    <w:p>
      <w:pPr/>
      <w:r>
        <w:rPr>
          <w:b/>
        </w:rPr>
        <w:t xml:space="preserve">What comes through the window.</w:t>
      </w:r>
      <w:r>
        <w:t xml:space="preserve"> The physical chain from a weak field to living things is mapped in the literature:</w:t>
      </w:r>
    </w:p>
    <w:p>
      <w:pPr>
        <w:pStyle w:val="ListParagraph"/>
        <w:numPr>
          <w:ilvl w:val="0"/>
          <w:numId w:val="3"/>
        </w:numPr>
      </w:pPr>
      <w:r>
        <w:t xml:space="preserve">A weaker field lets more energetic solar particles into the atmosphere.</w:t>
      </w:r>
    </w:p>
    <w:p>
      <w:pPr>
        <w:pStyle w:val="ListParagraph"/>
        <w:numPr>
          <w:ilvl w:val="0"/>
          <w:numId w:val="3"/>
        </w:numPr>
      </w:pPr>
      <w:r>
        <w:t xml:space="preserve">They raise nitrogen oxides high in the atmosphere.</w:t>
      </w:r>
    </w:p>
    <w:p>
      <w:pPr>
        <w:pStyle w:val="ListParagraph"/>
        <w:numPr>
          <w:ilvl w:val="0"/>
          <w:numId w:val="3"/>
        </w:numPr>
      </w:pPr>
      <w:r>
        <w:t xml:space="preserve">Those nitrogen oxides destroy stratospheric ozone.</w:t>
      </w:r>
    </w:p>
    <w:p>
      <w:pPr>
        <w:pStyle w:val="ListParagraph"/>
        <w:numPr>
          <w:ilvl w:val="0"/>
          <w:numId w:val="3"/>
        </w:numPr>
      </w:pPr>
      <w:r>
        <w:t xml:space="preserve">Thinner ozone lets more UV-B reach the surface.</w:t>
      </w:r>
    </w:p>
    <w:p>
      <w:pPr>
        <w:pStyle w:val="ListParagraph"/>
        <w:numPr>
          <w:ilvl w:val="0"/>
          <w:numId w:val="3"/>
        </w:numPr>
      </w:pPr>
      <w:r>
        <w:t xml:space="preserve">UV-B damages phytoplankton, the base of the marine food web.</w:t>
      </w:r>
    </w:p>
    <w:p>
      <w:pPr/>
      <w:r>
        <w:t xml:space="preserve">At today's field strength, an extreme solar particle event would thin ozone outside the tropics for about a year. With no field, the same event causes severe depletion lasting several years (</w:t>
      </w:r>
      <w:hyperlink r:id="rId10" w:history="1">
        <w:r>
          <w:rPr>
            <w:rStyle w:val="Hyperlink"/>
          </w:rPr>
          <w:t xml:space="preserve">Arsenović et al., 2024</w:t>
        </w:r>
      </w:hyperlink>
      <w:r>
        <w:t xml:space="preserve">). A German Research Foundation project built coupled atmosphere and phytoplankton models specifically to test how aquatic ecosystems respond to that extra UV-B (</w:t>
      </w:r>
      <w:hyperlink r:id="rId11" w:history="1">
        <w:r>
          <w:rPr>
            <w:rStyle w:val="Hyperlink"/>
          </w:rPr>
          <w:t xml:space="preserve">DFG project 14249322</w:t>
        </w:r>
      </w:hyperlink>
      <w:r>
        <w:t xml:space="preserve">).</w:t>
      </w:r>
    </w:p>
    <w:p>
      <w:pPr/>
      <w:r>
        <w:t xml:space="preserve">The limit of the claim needs to be honest. At today's strength, roughly 9% below the 1840s value (a commonly cited figure, approximate here), this chain is not shown to be operating. Current losses in marine life are attributed mainly to warming, acidification and overfishing. The defensible claim is a forecast: if the decline continues toward excursion-level strength, the pathway to phytoplankton is a modeled, peer-reviewed risk. Neither recurrence paper mentions it.</w:t>
      </w:r>
    </w:p>
    <w:p>
      <w:pPr>
        <w:pStyle w:val="Heading2"/>
      </w:pPr>
      <w:r>
        <w:t xml:space="preserve">3. A cadence in the recent record (original hypothesis)</w:t>
      </w:r>
    </w:p>
    <w:p>
      <w:pPr/>
      <w:r>
        <w:t xml:space="preserve">This section is the author's own reading of the excursion catalog, not a published finding.</w:t>
      </w:r>
    </w:p>
    <w:p>
      <w:pPr/>
      <w:r>
        <w:t xml:space="preserve">Over the full record there is no clean clock. Excursions come anywhere from ~7,000 to ~30,000 years apart. The mainstream view is right on that narrow point: excursions are irregular.</w:t>
      </w:r>
    </w:p>
    <w:p>
      <w:pPr/>
      <w:r>
        <w:t xml:space="preserve">The recent half is different. From Mono Lake forward, the catalogued excursions fall about 7,500–9,000 years apart:</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Excursion</w:t>
            </w:r>
          </w:p>
        </w:tc>
        <w:tc>
          <w:tcPr>
            <w:tcW w:w="2340" w:type="dxa"/>
            <w:shd w:val="clear" w:color="auto" w:fill="F2F2F2"/>
          </w:tcPr>
          <w:p>
            <w:pPr/>
            <w:r>
              <w:t xml:space="preserve">Age (thousand years ago)</w:t>
            </w:r>
          </w:p>
        </w:tc>
        <w:tc>
          <w:tcPr>
            <w:tcW w:w="2340" w:type="dxa"/>
            <w:shd w:val="clear" w:color="auto" w:fill="F2F2F2"/>
          </w:tcPr>
          <w:p>
            <w:pPr/>
            <w:r>
              <w:t xml:space="preserve">Status</w:t>
            </w:r>
          </w:p>
        </w:tc>
        <w:tc>
          <w:tcPr>
            <w:tcW w:w="2340" w:type="dxa"/>
            <w:shd w:val="clear" w:color="auto" w:fill="F2F2F2"/>
          </w:tcPr>
          <w:p>
            <w:pPr/>
            <w:r>
              <w:t xml:space="preserve">Gap to next (thousand years)</w:t>
            </w:r>
          </w:p>
        </w:tc>
      </w:tr>
      <w:tr>
        <w:tc>
          <w:tcPr>
            <w:tcW w:w="2340" w:type="dxa"/>
          </w:tcPr>
          <w:p>
            <w:pPr/>
            <w:r>
              <w:t xml:space="preserve">Tianshui</w:t>
            </w:r>
          </w:p>
        </w:tc>
        <w:tc>
          <w:tcPr>
            <w:tcW w:w="2340" w:type="dxa"/>
          </w:tcPr>
          <w:p>
            <w:pPr/>
            <w:r>
              <w:t xml:space="preserve">~10.2</w:t>
            </w:r>
          </w:p>
        </w:tc>
        <w:tc>
          <w:tcPr>
            <w:tcW w:w="2340" w:type="dxa"/>
          </w:tcPr>
          <w:p>
            <w:pPr/>
            <w:r>
              <w:t xml:space="preserve">Disputed</w:t>
            </w:r>
          </w:p>
        </w:tc>
        <w:tc>
          <w:tcPr>
            <w:tcW w:w="2340" w:type="dxa"/>
          </w:tcPr>
          <w:p>
            <w:pPr/>
            <w:r>
              <w:t xml:space="preserve">—</w:t>
            </w:r>
          </w:p>
        </w:tc>
      </w:tr>
      <w:tr>
        <w:tc>
          <w:tcPr>
            <w:tcW w:w="2340" w:type="dxa"/>
          </w:tcPr>
          <w:p>
            <w:pPr/>
            <w:r>
              <w:t xml:space="preserve">Hilina Pali</w:t>
            </w:r>
          </w:p>
        </w:tc>
        <w:tc>
          <w:tcPr>
            <w:tcW w:w="2340" w:type="dxa"/>
          </w:tcPr>
          <w:p>
            <w:pPr/>
            <w:r>
              <w:t xml:space="preserve">~17–18.5</w:t>
            </w:r>
          </w:p>
        </w:tc>
        <w:tc>
          <w:tcPr>
            <w:tcW w:w="2340" w:type="dxa"/>
          </w:tcPr>
          <w:p>
            <w:pPr/>
            <w:r>
              <w:t xml:space="preserve">Disputed</w:t>
            </w:r>
          </w:p>
        </w:tc>
        <w:tc>
          <w:tcPr>
            <w:tcW w:w="2340" w:type="dxa"/>
          </w:tcPr>
          <w:p>
            <w:pPr/>
            <w:r>
              <w:t xml:space="preserve">~7–8</w:t>
            </w:r>
          </w:p>
        </w:tc>
      </w:tr>
      <w:tr>
        <w:tc>
          <w:tcPr>
            <w:tcW w:w="2340" w:type="dxa"/>
          </w:tcPr>
          <w:p>
            <w:pPr/>
            <w:r>
              <w:t xml:space="preserve">Rockall</w:t>
            </w:r>
          </w:p>
        </w:tc>
        <w:tc>
          <w:tcPr>
            <w:tcW w:w="2340" w:type="dxa"/>
          </w:tcPr>
          <w:p>
            <w:pPr/>
            <w:r>
              <w:t xml:space="preserve">~26</w:t>
            </w:r>
          </w:p>
        </w:tc>
        <w:tc>
          <w:tcPr>
            <w:tcW w:w="2340" w:type="dxa"/>
          </w:tcPr>
          <w:p>
            <w:pPr/>
            <w:r>
              <w:t xml:space="preserve">Disputed</w:t>
            </w:r>
          </w:p>
        </w:tc>
        <w:tc>
          <w:tcPr>
            <w:tcW w:w="2340" w:type="dxa"/>
          </w:tcPr>
          <w:p>
            <w:pPr/>
            <w:r>
              <w:t xml:space="preserve">~7.5–9</w:t>
            </w:r>
          </w:p>
        </w:tc>
      </w:tr>
      <w:tr>
        <w:tc>
          <w:tcPr>
            <w:tcW w:w="2340" w:type="dxa"/>
          </w:tcPr>
          <w:p>
            <w:pPr/>
            <w:r>
              <w:t xml:space="preserve">Mono Lake</w:t>
            </w:r>
          </w:p>
        </w:tc>
        <w:tc>
          <w:tcPr>
            <w:tcW w:w="2340" w:type="dxa"/>
          </w:tcPr>
          <w:p>
            <w:pPr/>
            <w:r>
              <w:t xml:space="preserve">~34.5</w:t>
            </w:r>
          </w:p>
        </w:tc>
        <w:tc>
          <w:tcPr>
            <w:tcW w:w="2340" w:type="dxa"/>
          </w:tcPr>
          <w:p>
            <w:pPr/>
            <w:r>
              <w:t xml:space="preserve">Documented</w:t>
            </w:r>
          </w:p>
        </w:tc>
        <w:tc>
          <w:tcPr>
            <w:tcW w:w="2340" w:type="dxa"/>
          </w:tcPr>
          <w:p>
            <w:pPr/>
            <w:r>
              <w:t xml:space="preserve">~8.5</w:t>
            </w:r>
          </w:p>
        </w:tc>
      </w:tr>
      <w:tr>
        <w:tc>
          <w:tcPr>
            <w:tcW w:w="2340" w:type="dxa"/>
          </w:tcPr>
          <w:p>
            <w:pPr/>
            <w:r>
              <w:t xml:space="preserve">Laschamps</w:t>
            </w:r>
          </w:p>
        </w:tc>
        <w:tc>
          <w:tcPr>
            <w:tcW w:w="2340" w:type="dxa"/>
          </w:tcPr>
          <w:p>
            <w:pPr/>
            <w:r>
              <w:t xml:space="preserve">~41.2</w:t>
            </w:r>
          </w:p>
        </w:tc>
        <w:tc>
          <w:tcPr>
            <w:tcW w:w="2340" w:type="dxa"/>
          </w:tcPr>
          <w:p>
            <w:pPr/>
            <w:r>
              <w:t xml:space="preserve">Documented</w:t>
            </w:r>
          </w:p>
        </w:tc>
        <w:tc>
          <w:tcPr>
            <w:tcW w:w="2340" w:type="dxa"/>
          </w:tcPr>
          <w:p>
            <w:pPr/>
            <w:r>
              <w:t xml:space="preserve">~7</w:t>
            </w:r>
          </w:p>
        </w:tc>
      </w:tr>
      <w:tr>
        <w:tc>
          <w:tcPr>
            <w:tcW w:w="2340" w:type="dxa"/>
          </w:tcPr>
          <w:p>
            <w:pPr/>
            <w:r>
              <w:t xml:space="preserve">Norwegian–Greenland Sea</w:t>
            </w:r>
          </w:p>
        </w:tc>
        <w:tc>
          <w:tcPr>
            <w:tcW w:w="2340" w:type="dxa"/>
          </w:tcPr>
          <w:p>
            <w:pPr/>
            <w:r>
              <w:t xml:space="preserve">~64.5</w:t>
            </w:r>
          </w:p>
        </w:tc>
        <w:tc>
          <w:tcPr>
            <w:tcW w:w="2340" w:type="dxa"/>
          </w:tcPr>
          <w:p>
            <w:pPr/>
            <w:r>
              <w:t xml:space="preserve">Documented</w:t>
            </w:r>
          </w:p>
        </w:tc>
        <w:tc>
          <w:tcPr>
            <w:tcW w:w="2340" w:type="dxa"/>
          </w:tcPr>
          <w:p>
            <w:pPr/>
            <w:r>
              <w:t xml:space="preserve">~23</w:t>
            </w:r>
          </w:p>
        </w:tc>
      </w:tr>
      <w:tr>
        <w:tc>
          <w:tcPr>
            <w:tcW w:w="2340" w:type="dxa"/>
          </w:tcPr>
          <w:p>
            <w:pPr/>
            <w:r>
              <w:t xml:space="preserve">Post-Blake</w:t>
            </w:r>
          </w:p>
        </w:tc>
        <w:tc>
          <w:tcPr>
            <w:tcW w:w="2340" w:type="dxa"/>
          </w:tcPr>
          <w:p>
            <w:pPr/>
            <w:r>
              <w:t xml:space="preserve">~95</w:t>
            </w:r>
          </w:p>
        </w:tc>
        <w:tc>
          <w:tcPr>
            <w:tcW w:w="2340" w:type="dxa"/>
          </w:tcPr>
          <w:p>
            <w:pPr/>
            <w:r>
              <w:t xml:space="preserve">Documented</w:t>
            </w:r>
          </w:p>
        </w:tc>
        <w:tc>
          <w:tcPr>
            <w:tcW w:w="2340" w:type="dxa"/>
          </w:tcPr>
          <w:p>
            <w:pPr/>
            <w:r>
              <w:t xml:space="preserve">~30</w:t>
            </w:r>
          </w:p>
        </w:tc>
      </w:tr>
      <w:tr>
        <w:tc>
          <w:tcPr>
            <w:tcW w:w="2340" w:type="dxa"/>
          </w:tcPr>
          <w:p>
            <w:pPr/>
            <w:r>
              <w:t xml:space="preserve">Blake</w:t>
            </w:r>
          </w:p>
        </w:tc>
        <w:tc>
          <w:tcPr>
            <w:tcW w:w="2340" w:type="dxa"/>
          </w:tcPr>
          <w:p>
            <w:pPr/>
            <w:r>
              <w:t xml:space="preserve">~115–120 (approximate)</w:t>
            </w:r>
          </w:p>
        </w:tc>
        <w:tc>
          <w:tcPr>
            <w:tcW w:w="2340" w:type="dxa"/>
          </w:tcPr>
          <w:p>
            <w:pPr/>
            <w:r>
              <w:t xml:space="preserve">Documented</w:t>
            </w:r>
          </w:p>
        </w:tc>
        <w:tc>
          <w:tcPr>
            <w:tcW w:w="2340" w:type="dxa"/>
          </w:tcPr>
          <w:p>
            <w:pPr/>
            <w:r>
              <w:t xml:space="preserve">~20–25</w:t>
            </w:r>
          </w:p>
        </w:tc>
      </w:tr>
    </w:tbl>
    <w:p>
      <w:pPr/>
      <w:r>
        <w:t xml:space="preserve">Ages from </w:t>
      </w:r>
      <w:hyperlink r:id="rId12" w:history="1">
        <w:r>
          <w:rPr>
            <w:rStyle w:val="Hyperlink"/>
          </w:rPr>
          <w:t xml:space="preserve">Nowaczyk et al., 2025</w:t>
        </w:r>
      </w:hyperlink>
      <w:r>
        <w:t xml:space="preserve"> and </w:t>
      </w:r>
      <w:hyperlink r:id="rId13" w:history="1">
        <w:r>
          <w:rPr>
            <w:rStyle w:val="Hyperlink"/>
          </w:rPr>
          <w:t xml:space="preserve">Liu et al., 2020</w:t>
        </w:r>
      </w:hyperlink>
      <w:r>
        <w:t xml:space="preserve">; Blake and Post-Blake from the Lake Chala record (Di Chiara et al., 2025).</w:t>
      </w:r>
    </w:p>
    <w:p>
      <w:pPr/>
      <w:r>
        <w:rPr>
          <w:b/>
        </w:rPr>
        <w:t xml:space="preserve">Where Laschamps fits.</w:t>
      </w:r>
      <w:r>
        <w:t xml:space="preserve"> Laschamps is where the regular stretch begins. It sits about 7,000 years before Mono Lake. It is also the only event in the sequence with both an airtight date and a peer-reviewed body of work on its consequences. If the cadence is real, Laschamps is the template for what each later node could carry. If it isn't, Laschamps still stands on its own.</w:t>
      </w:r>
    </w:p>
    <w:p>
      <w:pPr/>
      <w:r>
        <w:rPr>
          <w:b/>
        </w:rPr>
        <w:t xml:space="preserve">Where this is weakest.</w:t>
      </w:r>
    </w:p>
    <w:p>
      <w:pPr>
        <w:pStyle w:val="ListParagraph"/>
        <w:numPr>
          <w:ilvl w:val="0"/>
          <w:numId w:val="4"/>
        </w:numPr>
      </w:pPr>
      <w:r>
        <w:t xml:space="preserve">Three of the four evenly spaced events are disputed. Drake Passage cores from the Southern Ocean show no sign of Tianshui, Rockall or Hilina Pali; the authors suggest those were regional or too brief to record (</w:t>
      </w:r>
      <w:hyperlink r:id="rId12" w:history="1">
        <w:r>
          <w:rPr>
            <w:rStyle w:val="Hyperlink"/>
          </w:rPr>
          <w:t xml:space="preserve">Nowaczyk et al., 2025</w:t>
        </w:r>
      </w:hyperlink>
      <w:r>
        <w:t xml:space="preserve">).</w:t>
      </w:r>
    </w:p>
    <w:p>
      <w:pPr>
        <w:pStyle w:val="ListParagraph"/>
        <w:numPr>
          <w:ilvl w:val="0"/>
          <w:numId w:val="4"/>
        </w:numPr>
      </w:pPr>
      <w:r>
        <w:t xml:space="preserve">Younger events are easier to see in sediment, so recent spacing can look tighter and more regular than it was.</w:t>
      </w:r>
    </w:p>
    <w:p>
      <w:pPr>
        <w:pStyle w:val="ListParagraph"/>
        <w:numPr>
          <w:ilvl w:val="0"/>
          <w:numId w:val="4"/>
        </w:numPr>
      </w:pPr>
      <w:r>
        <w:t xml:space="preserve">The 2022 paper's rhythm is about a thousand years, not 8,000, so it doesn't directly back this cadence.</w:t>
      </w:r>
    </w:p>
    <w:p>
      <w:pPr>
        <w:pStyle w:val="ListParagraph"/>
        <w:numPr>
          <w:ilvl w:val="0"/>
          <w:numId w:val="4"/>
        </w:numPr>
      </w:pPr>
      <w:r>
        <w:t xml:space="preserve">Mono Lake was driven mostly by the non-dipole field, unlike Laschamps (</w:t>
      </w:r>
      <w:hyperlink r:id="rId13" w:history="1">
        <w:r>
          <w:rPr>
            <w:rStyle w:val="Hyperlink"/>
          </w:rPr>
          <w:t xml:space="preserve">Liu et al., 2020</w:t>
        </w:r>
      </w:hyperlink>
      <w:r>
        <w:t xml:space="preserve">). The regular events may not all be the same kind of event.</w:t>
      </w:r>
    </w:p>
    <w:p>
      <w:pPr/>
      <w:r>
        <w:t xml:space="preserve">The test is clear. High-resolution Southern Hemisphere records showing Rockall, Hilina Pali and Tianshui as global events at these ages would confirm it.</w:t>
      </w:r>
    </w:p>
    <w:p>
      <w:pPr>
        <w:pStyle w:val="Heading2"/>
      </w:pPr>
      <w:r>
        <w:t xml:space="preserve">4. The present window</w:t>
      </w:r>
    </w:p>
    <w:p>
      <w:pPr/>
      <w:r>
        <w:t xml:space="preserve">Two separate things are true here, and only one of them is measured.</w:t>
      </w:r>
    </w:p>
    <w:p>
      <w:pPr/>
      <w:r>
        <w:rPr>
          <w:b/>
        </w:rPr>
        <w:t xml:space="preserve">What is measured.</w:t>
      </w:r>
      <w:r>
        <w:t xml:space="preserve"> The field is weakening now. Swarm satellite data show the South Atlantic Anomaly grew by an area nearly half the size of continental Europe between 2014 and 2025. Since 2020, a region southwest of Africa has weakened faster than the rest, and the anomaly is splitting into two lobes (</w:t>
      </w:r>
      <w:hyperlink r:id="rId14" w:history="1">
        <w:r>
          <w:rPr>
            <w:rStyle w:val="Hyperlink"/>
          </w:rPr>
          <w:t xml:space="preserve">Finlay et al., 2025</w:t>
        </w:r>
      </w:hyperlink>
      <w:r>
        <w:t xml:space="preserve">). Whether this is the start of something deeper, or a swing that recovers as the 2022 paper expects, nobody knows yet.</w:t>
      </w:r>
    </w:p>
    <w:p>
      <w:pPr/>
      <w:r>
        <w:rPr>
          <w:b/>
        </w:rPr>
        <w:t xml:space="preserve">What the cadence says.</w:t>
      </w:r>
      <w:r>
        <w:t xml:space="preserve"> As computed, it does not put us in the window today. Counting ~8,000 years forward from Tianshui (~10.2 thousand years ago) gives one node about 2,000 years ago and the next about 6,000 years from now.</w:t>
      </w:r>
    </w:p>
    <w:p>
      <w:pPr/>
      <w:r>
        <w:t xml:space="preserve">That ~2,000-years-ago node does land on something. It falls on the 1–850 CE weak spot documented in the 2026 paper (</w:t>
      </w:r>
      <w:hyperlink r:id="rId3" w:history="1">
        <w:r>
          <w:rPr>
            <w:rStyle w:val="Hyperlink"/>
          </w:rPr>
          <w:t xml:space="preserve">Gómez-Paccard et al., 2026</w:t>
        </w:r>
      </w:hyperlink>
      <w:r>
        <w:t xml:space="preserve">). That was a regional anomaly, not a global excursion. If the match is real, the cadence may show up as different kinds of event over time. That is worth testing.</w:t>
      </w:r>
    </w:p>
    <w:p>
      <w:pPr/>
      <w:r>
        <w:t xml:space="preserve">For argument 4 to stand as "we are in the window now," it needs its own anchor: a different period, a different starting point, or a reason the cadence would shift.</w:t>
      </w:r>
    </w:p>
    <w:p>
      <w:pPr/>
      <w:r>
        <w:rPr>
          <w:b/>
        </w:rPr>
        <w:t xml:space="preserve">What this does not depend on.</w:t>
      </w:r>
      <w:r>
        <w:t xml:space="preserve"> Even without argument 4, the burden sits with the reassurance. The field is measurably weakening. The best-dated precedent for a deep low is a period whose consequences are still being argued over in the literature. And the one thing certainly different this time makes exposure worse: there was no power grid, no satellite layer and no population of eight billion under the shield during Laschamps. Anyone saying "it'll be fine" should be able to show why this decline resolves safely. The recurrence papers don't attempt it.</w:t>
      </w:r>
    </w:p>
    <w:p>
      <w:pPr>
        <w:pStyle w:val="Heading2"/>
      </w:pPr>
      <w:r>
        <w:t xml:space="preserve">References</w:t>
      </w:r>
    </w:p>
    <w:p>
      <w:pPr>
        <w:pStyle w:val="ListParagraph"/>
        <w:numPr>
          <w:ilvl w:val="0"/>
          <w:numId w:val="5"/>
        </w:numPr>
      </w:pPr>
      <w:r>
        <w:t xml:space="preserve">Gómez-Paccard, M., et al. (2026). Tracing the origins and recurrence of the South Atlantic Anomaly: A 2000-year absolute paleointensity record from central South America. </w:t>
      </w:r>
      <w:r>
        <w:rPr>
          <w:i/>
        </w:rPr>
        <w:t xml:space="preserve">PNAS</w:t>
      </w:r>
      <w:r>
        <w:t xml:space="preserve">, 123(20). </w:t>
      </w:r>
      <w:hyperlink r:id="rId3" w:history="1">
        <w:r>
          <w:rPr>
            <w:rStyle w:val="Hyperlink"/>
          </w:rPr>
          <w:t xml:space="preserve">doi:10.1073/pnas.2536503123</w:t>
        </w:r>
      </w:hyperlink>
    </w:p>
    <w:p>
      <w:pPr>
        <w:pStyle w:val="ListParagraph"/>
        <w:numPr>
          <w:ilvl w:val="0"/>
          <w:numId w:val="5"/>
        </w:numPr>
      </w:pPr>
      <w:r>
        <w:t xml:space="preserve">Nilsson, A., Suttie, N., Stoner, J. S., &amp; Muscheler, R. (2022). Recurrent ancient geomagnetic field anomalies shed light on future evolution of the South Atlantic Anomaly. </w:t>
      </w:r>
      <w:r>
        <w:rPr>
          <w:i/>
        </w:rPr>
        <w:t xml:space="preserve">PNAS</w:t>
      </w:r>
      <w:r>
        <w:t xml:space="preserve">, 119(24), e2200749119. </w:t>
      </w:r>
      <w:hyperlink r:id="rId9" w:history="1">
        <w:r>
          <w:rPr>
            <w:rStyle w:val="Hyperlink"/>
          </w:rPr>
          <w:t xml:space="preserve">doi:10.1073/pnas.2200749119</w:t>
        </w:r>
      </w:hyperlink>
    </w:p>
    <w:p>
      <w:pPr>
        <w:pStyle w:val="ListParagraph"/>
        <w:numPr>
          <w:ilvl w:val="0"/>
          <w:numId w:val="5"/>
        </w:numPr>
      </w:pPr>
      <w:r>
        <w:t xml:space="preserve">Finlay, C. C., et al. (2025). Core field changes from eleven years of Swarm satellite observations. </w:t>
      </w:r>
      <w:r>
        <w:rPr>
          <w:i/>
        </w:rPr>
        <w:t xml:space="preserve">Physics of the Earth and Planetary Interiors</w:t>
      </w:r>
      <w:r>
        <w:t xml:space="preserve">. </w:t>
      </w:r>
      <w:hyperlink r:id="rId14" w:history="1">
        <w:r>
          <w:rPr>
            <w:rStyle w:val="Hyperlink"/>
          </w:rPr>
          <w:t xml:space="preserve">doi:10.1016/j.pepi.2025.107447</w:t>
        </w:r>
      </w:hyperlink>
    </w:p>
    <w:p>
      <w:pPr>
        <w:pStyle w:val="ListParagraph"/>
        <w:numPr>
          <w:ilvl w:val="0"/>
          <w:numId w:val="5"/>
        </w:numPr>
      </w:pPr>
      <w:r>
        <w:t xml:space="preserve">Mukhopadhyay, A., Panovska, S., Garvey, R., et al. (2025). Wandering of the auroral oval 41,000 years ago. </w:t>
      </w:r>
      <w:r>
        <w:rPr>
          <w:i/>
        </w:rPr>
        <w:t xml:space="preserve">Science Advances</w:t>
      </w:r>
      <w:r>
        <w:t xml:space="preserve">, 11(16), eadq7275. </w:t>
      </w:r>
      <w:hyperlink r:id="rId4" w:history="1">
        <w:r>
          <w:rPr>
            <w:rStyle w:val="Hyperlink"/>
          </w:rPr>
          <w:t xml:space="preserve">doi:10.1126/sciadv.adq7275</w:t>
        </w:r>
      </w:hyperlink>
    </w:p>
    <w:p>
      <w:pPr>
        <w:pStyle w:val="ListParagraph"/>
        <w:numPr>
          <w:ilvl w:val="0"/>
          <w:numId w:val="5"/>
        </w:numPr>
      </w:pPr>
      <w:r>
        <w:t xml:space="preserve">Cooper, A., Turney, C. S. M., Palmer, J., et al. (2021). A global environmental crisis 42,000 years ago. </w:t>
      </w:r>
      <w:r>
        <w:rPr>
          <w:i/>
        </w:rPr>
        <w:t xml:space="preserve">Science</w:t>
      </w:r>
      <w:r>
        <w:t xml:space="preserve">, 371(6531), 811–818. </w:t>
      </w:r>
      <w:hyperlink r:id="rId5" w:history="1">
        <w:r>
          <w:rPr>
            <w:rStyle w:val="Hyperlink"/>
          </w:rPr>
          <w:t xml:space="preserve">doi:10.1126/science.abb8677</w:t>
        </w:r>
      </w:hyperlink>
    </w:p>
    <w:p>
      <w:pPr>
        <w:pStyle w:val="ListParagraph"/>
        <w:numPr>
          <w:ilvl w:val="0"/>
          <w:numId w:val="5"/>
        </w:numPr>
      </w:pPr>
      <w:r>
        <w:t xml:space="preserve">Comment on "A global environmental crisis 42,000 years ago" (2021). </w:t>
      </w:r>
      <w:r>
        <w:rPr>
          <w:i/>
        </w:rPr>
        <w:t xml:space="preserve">Science</w:t>
      </w:r>
      <w:r>
        <w:t xml:space="preserve">, 374(6570), eabi8330. </w:t>
      </w:r>
      <w:hyperlink r:id="rId7" w:history="1">
        <w:r>
          <w:rPr>
            <w:rStyle w:val="Hyperlink"/>
          </w:rPr>
          <w:t xml:space="preserve">doi:10.1126/science.abi8330</w:t>
        </w:r>
      </w:hyperlink>
    </w:p>
    <w:p>
      <w:pPr>
        <w:pStyle w:val="ListParagraph"/>
        <w:numPr>
          <w:ilvl w:val="0"/>
          <w:numId w:val="5"/>
        </w:numPr>
      </w:pPr>
      <w:r>
        <w:t xml:space="preserve">Cooper, A., et al. (2021). Response to comment on "A global environmental crisis 42,000 years ago". </w:t>
      </w:r>
      <w:r>
        <w:rPr>
          <w:i/>
        </w:rPr>
        <w:t xml:space="preserve">Science</w:t>
      </w:r>
      <w:r>
        <w:t xml:space="preserve">, 374(6570). </w:t>
      </w:r>
      <w:hyperlink r:id="rId8" w:history="1">
        <w:r>
          <w:rPr>
            <w:rStyle w:val="Hyperlink"/>
          </w:rPr>
          <w:t xml:space="preserve">doi:10.1126/science.abh3655</w:t>
        </w:r>
      </w:hyperlink>
    </w:p>
    <w:p>
      <w:pPr>
        <w:pStyle w:val="ListParagraph"/>
        <w:numPr>
          <w:ilvl w:val="0"/>
          <w:numId w:val="5"/>
        </w:numPr>
      </w:pPr>
      <w:r>
        <w:t xml:space="preserve">Arsenović, P., Rozanov, E., Usoskin, I., et al. (2024). Global impacts of an extreme solar particle event under different geomagnetic field strengths. </w:t>
      </w:r>
      <w:r>
        <w:rPr>
          <w:i/>
        </w:rPr>
        <w:t xml:space="preserve">PNAS</w:t>
      </w:r>
      <w:r>
        <w:t xml:space="preserve">, 121(28), e2321770121. </w:t>
      </w:r>
      <w:hyperlink r:id="rId10" w:history="1">
        <w:r>
          <w:rPr>
            <w:rStyle w:val="Hyperlink"/>
          </w:rPr>
          <w:t xml:space="preserve">doi:10.1073/pnas.2321770121</w:t>
        </w:r>
      </w:hyperlink>
    </w:p>
    <w:p>
      <w:pPr>
        <w:pStyle w:val="ListParagraph"/>
        <w:numPr>
          <w:ilvl w:val="0"/>
          <w:numId w:val="5"/>
        </w:numPr>
      </w:pPr>
      <w:r>
        <w:t xml:space="preserve">Nowaczyk, N. R., et al. (2025). The Mono Lake and Laschamps geomagnetic excursions recorded by sediments in the Drake Passage. </w:t>
      </w:r>
      <w:r>
        <w:rPr>
          <w:i/>
        </w:rPr>
        <w:t xml:space="preserve">Journal of Geophysical Research: Solid Earth</w:t>
      </w:r>
      <w:r>
        <w:t xml:space="preserve">. </w:t>
      </w:r>
      <w:hyperlink r:id="rId12" w:history="1">
        <w:r>
          <w:rPr>
            <w:rStyle w:val="Hyperlink"/>
          </w:rPr>
          <w:t xml:space="preserve">doi:10.1029/2024JB029835</w:t>
        </w:r>
      </w:hyperlink>
    </w:p>
    <w:p>
      <w:pPr>
        <w:pStyle w:val="ListParagraph"/>
        <w:numPr>
          <w:ilvl w:val="0"/>
          <w:numId w:val="5"/>
        </w:numPr>
      </w:pPr>
      <w:r>
        <w:t xml:space="preserve">Liu, J., Nowaczyk, N. R., Panovska, S., Korte, M., &amp; Arz, H. W. (2020). The Norwegian–Greenland Sea, the Laschamps, and the Mono Lake excursions recorded in a Black Sea sedimentary sequence spanning from 68.9 to 14.5 ka. </w:t>
      </w:r>
      <w:r>
        <w:rPr>
          <w:i/>
        </w:rPr>
        <w:t xml:space="preserve">JGR: Solid Earth</w:t>
      </w:r>
      <w:r>
        <w:t xml:space="preserve">, 125(8). </w:t>
      </w:r>
      <w:hyperlink r:id="rId13" w:history="1">
        <w:r>
          <w:rPr>
            <w:rStyle w:val="Hyperlink"/>
          </w:rPr>
          <w:t xml:space="preserve">doi:10.1029/2019JB019225</w:t>
        </w:r>
      </w:hyperlink>
    </w:p>
    <w:p>
      <w:pPr>
        <w:pStyle w:val="ListParagraph"/>
        <w:numPr>
          <w:ilvl w:val="0"/>
          <w:numId w:val="5"/>
        </w:numPr>
      </w:pPr>
      <w:r>
        <w:t xml:space="preserve">Di Chiara, A., et al. (2025). A continuous 150-kyr record of geomagnetic field variations from Lake Chala, eastern equatorial Africa. </w:t>
      </w:r>
      <w:r>
        <w:rPr>
          <w:i/>
        </w:rPr>
        <w:t xml:space="preserve">Geochemistry, Geophysics, Geosystems</w:t>
      </w:r>
      <w:r>
        <w:t xml:space="preserve">. DOI not yet retrieved.</w:t>
      </w:r>
    </w:p>
    <w:p>
      <w:pPr>
        <w:pStyle w:val="ListParagraph"/>
        <w:numPr>
          <w:ilvl w:val="0"/>
          <w:numId w:val="5"/>
        </w:numPr>
      </w:pPr>
      <w:r>
        <w:t xml:space="preserve">Laschamps-UV: Reconstructions of UV-B radiation across the Laschamps geomagnetic excursion. University of Bergen. </w:t>
      </w:r>
      <w:hyperlink r:id="rId6" w:history="1">
        <w:r>
          <w:rPr>
            <w:rStyle w:val="Hyperlink"/>
          </w:rPr>
          <w:t xml:space="preserve">Project page</w:t>
        </w:r>
      </w:hyperlink>
      <w:r>
        <w:t xml:space="preserve"> (no DOI).</w:t>
      </w:r>
    </w:p>
    <w:p>
      <w:pPr>
        <w:pStyle w:val="ListParagraph"/>
        <w:numPr>
          <w:ilvl w:val="0"/>
          <w:numId w:val="5"/>
        </w:numPr>
      </w:pPr>
      <w:r>
        <w:t xml:space="preserve">Possible effects of geomagnetic polarity transitions on the biosphere. German Research Foundation (DFG), project 14249322. </w:t>
      </w:r>
      <w:hyperlink r:id="rId11" w:history="1">
        <w:r>
          <w:rPr>
            <w:rStyle w:val="Hyperlink"/>
          </w:rPr>
          <w:t xml:space="preserve">Project page</w:t>
        </w:r>
      </w:hyperlink>
      <w:r>
        <w:t xml:space="preserve"> (no DOI).</w:t>
      </w:r>
    </w:p>
    <w:p>
      <w:pPr>
        <w:pStyle w:val="ListParagraph"/>
        <w:numPr>
          <w:ilvl w:val="0"/>
          <w:numId w:val="5"/>
        </w:numPr>
      </w:pPr>
      <w:r>
        <w:t xml:space="preserve">Kunferman, C. R. Dipole-position field simulation. DOI to be added.</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0"/>
  </w:num>
  <w:num w:numId="5">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doi.org/10.1073/pnas.2536503123" TargetMode="External"/><Relationship Id="rId4" Type="http://schemas.openxmlformats.org/officeDocument/2006/relationships/hyperlink" Target="https://doi.org/10.1126/sciadv.adq7275" TargetMode="External"/><Relationship Id="rId5" Type="http://schemas.openxmlformats.org/officeDocument/2006/relationships/hyperlink" Target="https://doi.org/10.1126/science.abb8677" TargetMode="External"/><Relationship Id="rId6" Type="http://schemas.openxmlformats.org/officeDocument/2006/relationships/hyperlink" Target="https://www4.uib.no/en/research/research-projects/laschamps-uv" TargetMode="External"/><Relationship Id="rId7" Type="http://schemas.openxmlformats.org/officeDocument/2006/relationships/hyperlink" Target="https://doi.org/10.1126/science.abi8330" TargetMode="External"/><Relationship Id="rId8" Type="http://schemas.openxmlformats.org/officeDocument/2006/relationships/hyperlink" Target="https://doi.org/10.1126/science.abh3655" TargetMode="External"/><Relationship Id="rId9" Type="http://schemas.openxmlformats.org/officeDocument/2006/relationships/hyperlink" Target="https://doi.org/10.1073/pnas.2200749119" TargetMode="External"/><Relationship Id="rId10" Type="http://schemas.openxmlformats.org/officeDocument/2006/relationships/hyperlink" Target="https://doi.org/10.1073/pnas.2321770121" TargetMode="External"/><Relationship Id="rId11" Type="http://schemas.openxmlformats.org/officeDocument/2006/relationships/hyperlink" Target="https://gepris.dfg.de/gepris/projekt/14249322" TargetMode="External"/><Relationship Id="rId12" Type="http://schemas.openxmlformats.org/officeDocument/2006/relationships/hyperlink" Target="https://doi.org/10.1029/2024JB029835" TargetMode="External"/><Relationship Id="rId13" Type="http://schemas.openxmlformats.org/officeDocument/2006/relationships/hyperlink" Target="https://doi.org/10.1029/2019JB019225" TargetMode="External"/><Relationship Id="rId14" Type="http://schemas.openxmlformats.org/officeDocument/2006/relationships/hyperlink" Target="https://doi.org/10.1016/j.pepi.2025.107447"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What Recurrence Doesn't Tell You</dc:title>
  <dc:description>Claude Docs node/d136fe90-e46e@9 docx-w6</dc:description>
  <cp:revision>9</cp:revision>
</cp:coreProperties>
</file>